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3B2" w:rsidRPr="00FF2BC2" w:rsidRDefault="00B573B2" w:rsidP="00B573B2">
      <w:pPr>
        <w:contextualSpacing/>
        <w:jc w:val="center"/>
        <w:rPr>
          <w:rFonts w:asciiTheme="majorHAnsi" w:hAnsiTheme="majorHAnsi"/>
          <w:b/>
          <w:sz w:val="8"/>
          <w:szCs w:val="8"/>
        </w:rPr>
      </w:pPr>
    </w:p>
    <w:p w:rsidR="00DB6C70" w:rsidRPr="00905084" w:rsidRDefault="00335B37" w:rsidP="00E66705">
      <w:pPr>
        <w:pStyle w:val="Listenabsatz"/>
        <w:numPr>
          <w:ilvl w:val="0"/>
          <w:numId w:val="21"/>
        </w:numPr>
        <w:tabs>
          <w:tab w:val="left" w:pos="426"/>
        </w:tabs>
        <w:ind w:left="284" w:hanging="142"/>
        <w:jc w:val="both"/>
        <w:rPr>
          <w:rFonts w:asciiTheme="majorHAnsi" w:hAnsiTheme="majorHAnsi"/>
          <w:b/>
          <w:u w:val="single"/>
        </w:rPr>
      </w:pPr>
      <w:r w:rsidRPr="00905084">
        <w:rPr>
          <w:rFonts w:asciiTheme="majorHAnsi" w:hAnsiTheme="majorHAnsi"/>
          <w:b/>
          <w:u w:val="single"/>
        </w:rPr>
        <w:t>Sonderpädagogische Unterstützungsleistungen</w:t>
      </w:r>
    </w:p>
    <w:p w:rsidR="008F39F7" w:rsidRDefault="008F39F7" w:rsidP="00E66705">
      <w:pPr>
        <w:tabs>
          <w:tab w:val="left" w:pos="426"/>
        </w:tabs>
        <w:jc w:val="both"/>
        <w:rPr>
          <w:rFonts w:asciiTheme="majorHAnsi" w:hAnsiTheme="majorHAnsi"/>
          <w:b/>
          <w:sz w:val="22"/>
          <w:szCs w:val="22"/>
        </w:rPr>
      </w:pPr>
    </w:p>
    <w:p w:rsidR="00197C62" w:rsidRDefault="00197C62" w:rsidP="00E66705">
      <w:pPr>
        <w:pStyle w:val="Listenabsatz"/>
        <w:numPr>
          <w:ilvl w:val="0"/>
          <w:numId w:val="15"/>
        </w:numPr>
        <w:tabs>
          <w:tab w:val="left" w:pos="426"/>
        </w:tabs>
        <w:jc w:val="both"/>
        <w:rPr>
          <w:rFonts w:asciiTheme="majorHAnsi" w:hAnsiTheme="majorHAnsi"/>
          <w:sz w:val="22"/>
          <w:szCs w:val="22"/>
        </w:rPr>
      </w:pPr>
      <w:r w:rsidRPr="00EF77A3">
        <w:rPr>
          <w:rFonts w:asciiTheme="majorHAnsi" w:hAnsiTheme="majorHAnsi"/>
          <w:color w:val="000000" w:themeColor="text1"/>
          <w:sz w:val="22"/>
          <w:szCs w:val="22"/>
        </w:rPr>
        <w:t>sonderpädagogische</w:t>
      </w:r>
      <w:r w:rsidRPr="00560E40">
        <w:rPr>
          <w:rFonts w:asciiTheme="majorHAnsi" w:hAnsiTheme="majorHAnsi"/>
          <w:sz w:val="22"/>
          <w:szCs w:val="22"/>
        </w:rPr>
        <w:t xml:space="preserve"> Ressource</w:t>
      </w:r>
      <w:r w:rsidR="00335B37">
        <w:rPr>
          <w:rFonts w:asciiTheme="majorHAnsi" w:hAnsiTheme="majorHAnsi"/>
          <w:sz w:val="22"/>
          <w:szCs w:val="22"/>
        </w:rPr>
        <w:t xml:space="preserve">: </w:t>
      </w:r>
      <w:r w:rsidR="00E66705">
        <w:rPr>
          <w:rFonts w:asciiTheme="majorHAnsi" w:hAnsiTheme="majorHAnsi"/>
          <w:sz w:val="22"/>
          <w:szCs w:val="22"/>
        </w:rPr>
        <w:t xml:space="preserve">„systembezogen“ </w:t>
      </w:r>
      <w:r w:rsidR="00242C80">
        <w:rPr>
          <w:rFonts w:asciiTheme="majorHAnsi" w:hAnsiTheme="majorHAnsi"/>
          <w:sz w:val="22"/>
          <w:szCs w:val="22"/>
        </w:rPr>
        <w:t xml:space="preserve">in der Regel </w:t>
      </w:r>
      <w:r w:rsidR="00335B37">
        <w:rPr>
          <w:rFonts w:asciiTheme="majorHAnsi" w:hAnsiTheme="majorHAnsi"/>
          <w:sz w:val="22"/>
          <w:szCs w:val="22"/>
        </w:rPr>
        <w:t>2 bis 4 Wochenstunden je nach Ressourcenplanung</w:t>
      </w:r>
      <w:r w:rsidR="00E66705">
        <w:rPr>
          <w:rFonts w:asciiTheme="majorHAnsi" w:hAnsiTheme="majorHAnsi"/>
          <w:sz w:val="22"/>
          <w:szCs w:val="22"/>
        </w:rPr>
        <w:t xml:space="preserve"> zur Entwicklung des inklusiven Unterrichts</w:t>
      </w:r>
    </w:p>
    <w:p w:rsidR="00D32089" w:rsidRDefault="00D32089" w:rsidP="00E66705">
      <w:pPr>
        <w:pStyle w:val="Listenabsatz"/>
        <w:numPr>
          <w:ilvl w:val="0"/>
          <w:numId w:val="15"/>
        </w:numPr>
        <w:tabs>
          <w:tab w:val="left" w:pos="426"/>
        </w:tabs>
        <w:jc w:val="both"/>
        <w:rPr>
          <w:rFonts w:asciiTheme="majorHAnsi" w:hAnsiTheme="majorHAnsi"/>
          <w:sz w:val="22"/>
          <w:szCs w:val="22"/>
        </w:rPr>
      </w:pPr>
      <w:r w:rsidRPr="00EF77A3">
        <w:rPr>
          <w:rFonts w:asciiTheme="majorHAnsi" w:hAnsiTheme="majorHAnsi"/>
          <w:color w:val="000000" w:themeColor="text1"/>
          <w:sz w:val="22"/>
          <w:szCs w:val="22"/>
        </w:rPr>
        <w:t>Möglichkeiten</w:t>
      </w:r>
      <w:r>
        <w:rPr>
          <w:rFonts w:asciiTheme="majorHAnsi" w:hAnsiTheme="majorHAnsi"/>
          <w:sz w:val="22"/>
          <w:szCs w:val="22"/>
        </w:rPr>
        <w:t xml:space="preserve"> de</w:t>
      </w:r>
      <w:r w:rsidR="00E66705">
        <w:rPr>
          <w:rFonts w:asciiTheme="majorHAnsi" w:hAnsiTheme="majorHAnsi"/>
          <w:sz w:val="22"/>
          <w:szCs w:val="22"/>
        </w:rPr>
        <w:t xml:space="preserve">s Einsatzes der Förderschullehrkraft </w:t>
      </w:r>
      <w:r>
        <w:rPr>
          <w:rFonts w:asciiTheme="majorHAnsi" w:hAnsiTheme="majorHAnsi"/>
          <w:sz w:val="22"/>
          <w:szCs w:val="22"/>
        </w:rPr>
        <w:t>(nach Absprache, abhängig von zeitlichen Rahmenbedingungen/ Vereinbarungen im individuellen Förderplan)</w:t>
      </w:r>
    </w:p>
    <w:p w:rsidR="00D32089" w:rsidRPr="00D32089" w:rsidRDefault="00D32089" w:rsidP="00E66705">
      <w:pPr>
        <w:pStyle w:val="Listenabsatz"/>
        <w:tabs>
          <w:tab w:val="left" w:pos="426"/>
        </w:tabs>
        <w:jc w:val="both"/>
        <w:rPr>
          <w:rFonts w:asciiTheme="majorHAnsi" w:hAnsiTheme="majorHAnsi"/>
          <w:sz w:val="22"/>
          <w:szCs w:val="22"/>
        </w:rPr>
      </w:pPr>
    </w:p>
    <w:p w:rsidR="00FA6AB2" w:rsidRDefault="00E66705" w:rsidP="00421FFC">
      <w:pPr>
        <w:pStyle w:val="Listenabsatz"/>
        <w:numPr>
          <w:ilvl w:val="1"/>
          <w:numId w:val="14"/>
        </w:numPr>
        <w:tabs>
          <w:tab w:val="left" w:pos="426"/>
        </w:tabs>
        <w:ind w:left="1134" w:hanging="425"/>
        <w:rPr>
          <w:rFonts w:asciiTheme="majorHAnsi" w:hAnsiTheme="majorHAnsi"/>
          <w:color w:val="000000" w:themeColor="text1"/>
          <w:sz w:val="22"/>
          <w:szCs w:val="22"/>
        </w:rPr>
      </w:pPr>
      <w:r w:rsidRPr="00905084">
        <w:rPr>
          <w:rFonts w:asciiTheme="majorHAnsi" w:hAnsiTheme="majorHAnsi"/>
          <w:b/>
          <w:noProof/>
          <w:u w:val="single"/>
        </w:rPr>
        <mc:AlternateContent>
          <mc:Choice Requires="wps">
            <w:drawing>
              <wp:anchor distT="0" distB="0" distL="114300" distR="114300" simplePos="0" relativeHeight="251657728" behindDoc="0" locked="0" layoutInCell="1" allowOverlap="1">
                <wp:simplePos x="0" y="0"/>
                <wp:positionH relativeFrom="column">
                  <wp:posOffset>3129280</wp:posOffset>
                </wp:positionH>
                <wp:positionV relativeFrom="paragraph">
                  <wp:posOffset>29697</wp:posOffset>
                </wp:positionV>
                <wp:extent cx="2819400" cy="2125980"/>
                <wp:effectExtent l="0" t="0" r="19050" b="26670"/>
                <wp:wrapThrough wrapText="bothSides">
                  <wp:wrapPolygon edited="0">
                    <wp:start x="0" y="0"/>
                    <wp:lineTo x="0" y="21677"/>
                    <wp:lineTo x="21600" y="21677"/>
                    <wp:lineTo x="2160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819400" cy="2125980"/>
                        </a:xfrm>
                        <a:prstGeom prst="rect">
                          <a:avLst/>
                        </a:prstGeom>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CC3DF6" w:rsidRPr="00905084" w:rsidRDefault="00CC3DF6" w:rsidP="00E038E4">
                            <w:pPr>
                              <w:tabs>
                                <w:tab w:val="left" w:pos="284"/>
                              </w:tabs>
                              <w:jc w:val="center"/>
                              <w:rPr>
                                <w:rFonts w:asciiTheme="majorHAnsi" w:hAnsiTheme="majorHAnsi"/>
                                <w:b/>
                                <w:sz w:val="20"/>
                                <w:szCs w:val="20"/>
                                <w:u w:val="single"/>
                              </w:rPr>
                            </w:pPr>
                            <w:r w:rsidRPr="00905084">
                              <w:rPr>
                                <w:rFonts w:asciiTheme="majorHAnsi" w:hAnsiTheme="majorHAnsi"/>
                                <w:b/>
                                <w:sz w:val="20"/>
                                <w:szCs w:val="20"/>
                                <w:u w:val="single"/>
                              </w:rPr>
                              <w:t>Rechtlicher Rahmen</w:t>
                            </w:r>
                          </w:p>
                          <w:p w:rsidR="00CC3DF6" w:rsidRPr="00D32089" w:rsidRDefault="00CC3DF6" w:rsidP="00E038E4">
                            <w:pPr>
                              <w:tabs>
                                <w:tab w:val="left" w:pos="284"/>
                              </w:tabs>
                              <w:jc w:val="center"/>
                              <w:rPr>
                                <w:rFonts w:asciiTheme="majorHAnsi" w:hAnsiTheme="majorHAnsi"/>
                                <w:i/>
                                <w:sz w:val="18"/>
                                <w:szCs w:val="18"/>
                              </w:rPr>
                            </w:pPr>
                          </w:p>
                          <w:p w:rsidR="00CC3DF6" w:rsidRPr="00D32089" w:rsidRDefault="00CC3DF6" w:rsidP="00421FFC">
                            <w:pPr>
                              <w:pStyle w:val="Listenabsatz"/>
                              <w:numPr>
                                <w:ilvl w:val="0"/>
                                <w:numId w:val="19"/>
                              </w:numPr>
                              <w:tabs>
                                <w:tab w:val="left" w:pos="284"/>
                              </w:tabs>
                              <w:ind w:left="284" w:hanging="284"/>
                              <w:rPr>
                                <w:rFonts w:asciiTheme="majorHAnsi" w:hAnsiTheme="majorHAnsi"/>
                                <w:i/>
                                <w:sz w:val="18"/>
                                <w:szCs w:val="18"/>
                              </w:rPr>
                            </w:pPr>
                            <w:r w:rsidRPr="00D32089">
                              <w:rPr>
                                <w:rFonts w:asciiTheme="majorHAnsi" w:hAnsiTheme="majorHAnsi"/>
                                <w:sz w:val="18"/>
                                <w:szCs w:val="18"/>
                              </w:rPr>
                              <w:t>Hessisches Schulgesetz; § 51</w:t>
                            </w:r>
                          </w:p>
                          <w:p w:rsidR="00CC3DF6" w:rsidRPr="00D32089" w:rsidRDefault="00CC3DF6" w:rsidP="00421FFC">
                            <w:pPr>
                              <w:pStyle w:val="Listenabsatz"/>
                              <w:numPr>
                                <w:ilvl w:val="0"/>
                                <w:numId w:val="19"/>
                              </w:numPr>
                              <w:tabs>
                                <w:tab w:val="left" w:pos="284"/>
                              </w:tabs>
                              <w:ind w:left="284" w:hanging="284"/>
                              <w:rPr>
                                <w:rFonts w:asciiTheme="majorHAnsi" w:hAnsiTheme="majorHAnsi"/>
                                <w:sz w:val="18"/>
                                <w:szCs w:val="18"/>
                              </w:rPr>
                            </w:pPr>
                            <w:r w:rsidRPr="00D32089">
                              <w:rPr>
                                <w:rFonts w:asciiTheme="majorHAnsi" w:hAnsiTheme="majorHAnsi"/>
                                <w:sz w:val="18"/>
                                <w:szCs w:val="18"/>
                              </w:rPr>
                              <w:t>Verordnung über Unterricht, Erziehung und sonderpädagogische Förderung von Schülerinnen und Schülern mit Beeinträchtigungen oder Behinderungen (VOSB)</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 12: Gestaltung des inklusiven Unterrichts</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 19: Kooperationsklassen und kooperative Angebote an allgemeinen Schulen</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 22 Allgemeine Vorschriften</w:t>
                            </w:r>
                          </w:p>
                          <w:p w:rsidR="00CC3DF6"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w:t>
                            </w:r>
                            <w:r w:rsidR="00421FFC">
                              <w:rPr>
                                <w:rFonts w:asciiTheme="majorHAnsi" w:hAnsiTheme="majorHAnsi"/>
                                <w:sz w:val="18"/>
                                <w:szCs w:val="18"/>
                              </w:rPr>
                              <w:t xml:space="preserve"> </w:t>
                            </w:r>
                            <w:r w:rsidRPr="00D32089">
                              <w:rPr>
                                <w:rFonts w:asciiTheme="majorHAnsi" w:hAnsiTheme="majorHAnsi"/>
                                <w:sz w:val="18"/>
                                <w:szCs w:val="18"/>
                              </w:rPr>
                              <w:t>23 Besondere Vorschriften für den Förderschwerpunkt Lernen</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Pr>
                                <w:rFonts w:asciiTheme="majorHAnsi" w:hAnsiTheme="majorHAnsi"/>
                                <w:sz w:val="18"/>
                                <w:szCs w:val="18"/>
                              </w:rPr>
                              <w:t>§25 Aufgaben und Arbeitsweise</w:t>
                            </w:r>
                          </w:p>
                          <w:p w:rsidR="00CC3DF6" w:rsidRDefault="00CC3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46.4pt;margin-top:2.35pt;width:222pt;height:1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" fillcolor="#365f91 [2404]" strokecolor="#205867 [1608]" strokeweight="2pt">
                <v:textbox>
                  <w:txbxContent>
                    <w:p w:rsidR="00CC3DF6" w:rsidRPr="00905084" w:rsidRDefault="00CC3DF6" w:rsidP="00E038E4">
                      <w:pPr>
                        <w:tabs>
                          <w:tab w:val="left" w:pos="284"/>
                        </w:tabs>
                        <w:jc w:val="center"/>
                        <w:rPr>
                          <w:rFonts w:asciiTheme="majorHAnsi" w:hAnsiTheme="majorHAnsi"/>
                          <w:b/>
                          <w:sz w:val="20"/>
                          <w:szCs w:val="20"/>
                          <w:u w:val="single"/>
                        </w:rPr>
                      </w:pPr>
                      <w:r w:rsidRPr="00905084">
                        <w:rPr>
                          <w:rFonts w:asciiTheme="majorHAnsi" w:hAnsiTheme="majorHAnsi"/>
                          <w:b/>
                          <w:sz w:val="20"/>
                          <w:szCs w:val="20"/>
                          <w:u w:val="single"/>
                        </w:rPr>
                        <w:t>Rechtlicher Rahmen</w:t>
                      </w:r>
                    </w:p>
                    <w:p w:rsidR="00CC3DF6" w:rsidRPr="00D32089" w:rsidRDefault="00CC3DF6" w:rsidP="00E038E4">
                      <w:pPr>
                        <w:tabs>
                          <w:tab w:val="left" w:pos="284"/>
                        </w:tabs>
                        <w:jc w:val="center"/>
                        <w:rPr>
                          <w:rFonts w:asciiTheme="majorHAnsi" w:hAnsiTheme="majorHAnsi"/>
                          <w:i/>
                          <w:sz w:val="18"/>
                          <w:szCs w:val="18"/>
                        </w:rPr>
                      </w:pPr>
                    </w:p>
                    <w:p w:rsidR="00CC3DF6" w:rsidRPr="00D32089" w:rsidRDefault="00CC3DF6" w:rsidP="00421FFC">
                      <w:pPr>
                        <w:pStyle w:val="Listenabsatz"/>
                        <w:numPr>
                          <w:ilvl w:val="0"/>
                          <w:numId w:val="19"/>
                        </w:numPr>
                        <w:tabs>
                          <w:tab w:val="left" w:pos="284"/>
                        </w:tabs>
                        <w:ind w:left="284" w:hanging="284"/>
                        <w:rPr>
                          <w:rFonts w:asciiTheme="majorHAnsi" w:hAnsiTheme="majorHAnsi"/>
                          <w:i/>
                          <w:sz w:val="18"/>
                          <w:szCs w:val="18"/>
                        </w:rPr>
                      </w:pPr>
                      <w:r w:rsidRPr="00D32089">
                        <w:rPr>
                          <w:rFonts w:asciiTheme="majorHAnsi" w:hAnsiTheme="majorHAnsi"/>
                          <w:sz w:val="18"/>
                          <w:szCs w:val="18"/>
                        </w:rPr>
                        <w:t>Hessisches Schulgesetz; § 51</w:t>
                      </w:r>
                    </w:p>
                    <w:p w:rsidR="00CC3DF6" w:rsidRPr="00D32089" w:rsidRDefault="00CC3DF6" w:rsidP="00421FFC">
                      <w:pPr>
                        <w:pStyle w:val="Listenabsatz"/>
                        <w:numPr>
                          <w:ilvl w:val="0"/>
                          <w:numId w:val="19"/>
                        </w:numPr>
                        <w:tabs>
                          <w:tab w:val="left" w:pos="284"/>
                        </w:tabs>
                        <w:ind w:left="284" w:hanging="284"/>
                        <w:rPr>
                          <w:rFonts w:asciiTheme="majorHAnsi" w:hAnsiTheme="majorHAnsi"/>
                          <w:sz w:val="18"/>
                          <w:szCs w:val="18"/>
                        </w:rPr>
                      </w:pPr>
                      <w:r w:rsidRPr="00D32089">
                        <w:rPr>
                          <w:rFonts w:asciiTheme="majorHAnsi" w:hAnsiTheme="majorHAnsi"/>
                          <w:sz w:val="18"/>
                          <w:szCs w:val="18"/>
                        </w:rPr>
                        <w:t>Verordnung über Unterricht, Erziehung und sonderpädagogische Förderung von Schülerinnen und Schülern mit Beeinträchtigungen oder Behinderungen (VOSB)</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 12: Gestaltung des inklusiven Unterrichts</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 19: Kooperationsklassen und kooperative Angebote an allgemeinen Schulen</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 22 Allgemeine Vorschriften</w:t>
                      </w:r>
                    </w:p>
                    <w:p w:rsidR="00CC3DF6" w:rsidRDefault="00CC3DF6" w:rsidP="00421FFC">
                      <w:pPr>
                        <w:pStyle w:val="Listenabsatz"/>
                        <w:numPr>
                          <w:ilvl w:val="1"/>
                          <w:numId w:val="19"/>
                        </w:numPr>
                        <w:tabs>
                          <w:tab w:val="left" w:pos="426"/>
                        </w:tabs>
                        <w:ind w:left="851" w:hanging="448"/>
                        <w:rPr>
                          <w:rFonts w:asciiTheme="majorHAnsi" w:hAnsiTheme="majorHAnsi"/>
                          <w:sz w:val="18"/>
                          <w:szCs w:val="18"/>
                        </w:rPr>
                      </w:pPr>
                      <w:r w:rsidRPr="00D32089">
                        <w:rPr>
                          <w:rFonts w:asciiTheme="majorHAnsi" w:hAnsiTheme="majorHAnsi"/>
                          <w:sz w:val="18"/>
                          <w:szCs w:val="18"/>
                        </w:rPr>
                        <w:t>§</w:t>
                      </w:r>
                      <w:r w:rsidR="00421FFC">
                        <w:rPr>
                          <w:rFonts w:asciiTheme="majorHAnsi" w:hAnsiTheme="majorHAnsi"/>
                          <w:sz w:val="18"/>
                          <w:szCs w:val="18"/>
                        </w:rPr>
                        <w:t xml:space="preserve"> </w:t>
                      </w:r>
                      <w:r w:rsidRPr="00D32089">
                        <w:rPr>
                          <w:rFonts w:asciiTheme="majorHAnsi" w:hAnsiTheme="majorHAnsi"/>
                          <w:sz w:val="18"/>
                          <w:szCs w:val="18"/>
                        </w:rPr>
                        <w:t>23 Besondere Vorschriften für den Förderschwerpunkt Lernen</w:t>
                      </w:r>
                    </w:p>
                    <w:p w:rsidR="00CC3DF6" w:rsidRPr="00D32089" w:rsidRDefault="00CC3DF6" w:rsidP="00421FFC">
                      <w:pPr>
                        <w:pStyle w:val="Listenabsatz"/>
                        <w:numPr>
                          <w:ilvl w:val="1"/>
                          <w:numId w:val="19"/>
                        </w:numPr>
                        <w:tabs>
                          <w:tab w:val="left" w:pos="426"/>
                        </w:tabs>
                        <w:ind w:left="851" w:hanging="448"/>
                        <w:rPr>
                          <w:rFonts w:asciiTheme="majorHAnsi" w:hAnsiTheme="majorHAnsi"/>
                          <w:sz w:val="18"/>
                          <w:szCs w:val="18"/>
                        </w:rPr>
                      </w:pPr>
                      <w:r>
                        <w:rPr>
                          <w:rFonts w:asciiTheme="majorHAnsi" w:hAnsiTheme="majorHAnsi"/>
                          <w:sz w:val="18"/>
                          <w:szCs w:val="18"/>
                        </w:rPr>
                        <w:t>§25 Aufgaben und Arbeitsweise</w:t>
                      </w:r>
                    </w:p>
                    <w:p w:rsidR="00CC3DF6" w:rsidRDefault="00CC3DF6"/>
                  </w:txbxContent>
                </v:textbox>
                <w10:wrap type="through"/>
              </v:shape>
            </w:pict>
          </mc:Fallback>
        </mc:AlternateContent>
      </w:r>
      <w:r w:rsidR="00FA6AB2" w:rsidRPr="00197C62">
        <w:rPr>
          <w:rFonts w:asciiTheme="majorHAnsi" w:hAnsiTheme="majorHAnsi"/>
          <w:color w:val="000000" w:themeColor="text1"/>
          <w:sz w:val="22"/>
          <w:szCs w:val="22"/>
        </w:rPr>
        <w:t>Individuelle Förderplanung/ Erstellung und Fortschreibung der Förderpläne</w:t>
      </w:r>
    </w:p>
    <w:p w:rsidR="00FA6AB2" w:rsidRPr="00197C62" w:rsidRDefault="00FA6AB2" w:rsidP="00421FFC">
      <w:pPr>
        <w:pStyle w:val="Listenabsatz"/>
        <w:numPr>
          <w:ilvl w:val="1"/>
          <w:numId w:val="14"/>
        </w:numPr>
        <w:tabs>
          <w:tab w:val="left" w:pos="426"/>
        </w:tabs>
        <w:ind w:left="1134" w:hanging="425"/>
        <w:rPr>
          <w:rFonts w:asciiTheme="majorHAnsi" w:hAnsiTheme="majorHAnsi"/>
          <w:color w:val="000000" w:themeColor="text1"/>
          <w:sz w:val="22"/>
          <w:szCs w:val="22"/>
        </w:rPr>
      </w:pPr>
      <w:r>
        <w:rPr>
          <w:rFonts w:asciiTheme="majorHAnsi" w:hAnsiTheme="majorHAnsi"/>
          <w:color w:val="000000" w:themeColor="text1"/>
          <w:sz w:val="22"/>
          <w:szCs w:val="22"/>
        </w:rPr>
        <w:t>Erstellung individueller Lernpläne</w:t>
      </w:r>
    </w:p>
    <w:p w:rsidR="00FA6AB2" w:rsidRDefault="00FA6AB2" w:rsidP="00421FFC">
      <w:pPr>
        <w:pStyle w:val="Listenabsatz"/>
        <w:numPr>
          <w:ilvl w:val="1"/>
          <w:numId w:val="14"/>
        </w:numPr>
        <w:tabs>
          <w:tab w:val="left" w:pos="426"/>
        </w:tabs>
        <w:ind w:left="1134" w:hanging="425"/>
        <w:outlineLvl w:val="0"/>
        <w:rPr>
          <w:rFonts w:asciiTheme="majorHAnsi" w:hAnsiTheme="majorHAnsi"/>
          <w:color w:val="000000" w:themeColor="text1"/>
          <w:sz w:val="22"/>
          <w:szCs w:val="22"/>
        </w:rPr>
      </w:pPr>
      <w:r>
        <w:rPr>
          <w:rFonts w:asciiTheme="majorHAnsi" w:hAnsiTheme="majorHAnsi"/>
          <w:color w:val="000000" w:themeColor="text1"/>
          <w:sz w:val="22"/>
          <w:szCs w:val="22"/>
        </w:rPr>
        <w:t>Unterstützung der Lehrkräfte bei Planung/ Durchführung von Unterrichtseinheiten</w:t>
      </w:r>
    </w:p>
    <w:p w:rsidR="00FA6AB2" w:rsidRDefault="00FA6AB2" w:rsidP="00421FFC">
      <w:pPr>
        <w:pStyle w:val="Listenabsatz"/>
        <w:numPr>
          <w:ilvl w:val="1"/>
          <w:numId w:val="14"/>
        </w:numPr>
        <w:ind w:left="1134" w:hanging="425"/>
        <w:rPr>
          <w:rFonts w:asciiTheme="majorHAnsi" w:hAnsiTheme="majorHAnsi"/>
          <w:color w:val="000000" w:themeColor="text1"/>
          <w:sz w:val="22"/>
          <w:szCs w:val="22"/>
        </w:rPr>
      </w:pPr>
      <w:r w:rsidRPr="00197C62">
        <w:rPr>
          <w:rFonts w:asciiTheme="majorHAnsi" w:hAnsiTheme="majorHAnsi"/>
          <w:color w:val="000000" w:themeColor="text1"/>
          <w:sz w:val="22"/>
          <w:szCs w:val="22"/>
        </w:rPr>
        <w:t>Unterstützung in der Elternarbeit</w:t>
      </w:r>
    </w:p>
    <w:p w:rsidR="00FA6AB2" w:rsidRPr="00FA6AB2" w:rsidRDefault="00FA6AB2" w:rsidP="00421FFC">
      <w:pPr>
        <w:pStyle w:val="Listenabsatz"/>
        <w:numPr>
          <w:ilvl w:val="1"/>
          <w:numId w:val="14"/>
        </w:numPr>
        <w:ind w:left="1134" w:hanging="425"/>
        <w:rPr>
          <w:rFonts w:asciiTheme="majorHAnsi" w:hAnsiTheme="majorHAnsi"/>
          <w:color w:val="000000" w:themeColor="text1"/>
          <w:sz w:val="22"/>
          <w:szCs w:val="22"/>
        </w:rPr>
      </w:pPr>
      <w:r w:rsidRPr="00197C62">
        <w:rPr>
          <w:rFonts w:asciiTheme="majorHAnsi" w:hAnsiTheme="majorHAnsi"/>
          <w:color w:val="000000" w:themeColor="text1"/>
          <w:sz w:val="22"/>
          <w:szCs w:val="22"/>
        </w:rPr>
        <w:t>Unterstützung bzw. Übernahme und Beratung bei der Durchführung, Auswertung und Interpretation von diagnostischen Maßnahmen (Diagnostik)</w:t>
      </w:r>
    </w:p>
    <w:p w:rsidR="00FA6AB2" w:rsidRDefault="00FA6AB2" w:rsidP="00421FFC">
      <w:pPr>
        <w:pStyle w:val="Listenabsatz"/>
        <w:numPr>
          <w:ilvl w:val="1"/>
          <w:numId w:val="14"/>
        </w:numPr>
        <w:tabs>
          <w:tab w:val="left" w:pos="426"/>
        </w:tabs>
        <w:ind w:left="1134" w:hanging="425"/>
        <w:rPr>
          <w:rFonts w:asciiTheme="majorHAnsi" w:hAnsiTheme="majorHAnsi"/>
          <w:color w:val="000000" w:themeColor="text1"/>
          <w:sz w:val="22"/>
          <w:szCs w:val="22"/>
        </w:rPr>
      </w:pPr>
      <w:r>
        <w:rPr>
          <w:rFonts w:asciiTheme="majorHAnsi" w:hAnsiTheme="majorHAnsi"/>
          <w:color w:val="000000" w:themeColor="text1"/>
          <w:sz w:val="22"/>
          <w:szCs w:val="22"/>
        </w:rPr>
        <w:t>Beratung zur Leistungsfeststellung und -bewertung</w:t>
      </w:r>
    </w:p>
    <w:p w:rsidR="00FA6AB2" w:rsidRPr="00197C62" w:rsidRDefault="00FA6AB2" w:rsidP="00421FFC">
      <w:pPr>
        <w:pStyle w:val="Listenabsatz"/>
        <w:numPr>
          <w:ilvl w:val="1"/>
          <w:numId w:val="14"/>
        </w:numPr>
        <w:ind w:left="1134" w:hanging="425"/>
        <w:rPr>
          <w:rFonts w:asciiTheme="majorHAnsi" w:hAnsiTheme="majorHAnsi"/>
          <w:color w:val="000000" w:themeColor="text1"/>
          <w:sz w:val="22"/>
          <w:szCs w:val="22"/>
        </w:rPr>
      </w:pPr>
      <w:r>
        <w:rPr>
          <w:rFonts w:asciiTheme="majorHAnsi" w:hAnsiTheme="majorHAnsi"/>
          <w:color w:val="000000" w:themeColor="text1"/>
          <w:sz w:val="22"/>
          <w:szCs w:val="22"/>
        </w:rPr>
        <w:t>differenzierendes Unterrichten in Einzelförderung/ Kleingruppen parallel/ ergänzend zum Klassenunterricht</w:t>
      </w:r>
    </w:p>
    <w:p w:rsidR="00197C62" w:rsidRDefault="00963EB1" w:rsidP="00421FFC">
      <w:pPr>
        <w:pStyle w:val="Listenabsatz"/>
        <w:numPr>
          <w:ilvl w:val="1"/>
          <w:numId w:val="14"/>
        </w:numPr>
        <w:tabs>
          <w:tab w:val="left" w:pos="426"/>
        </w:tabs>
        <w:ind w:left="1134" w:hanging="425"/>
        <w:rPr>
          <w:rFonts w:asciiTheme="majorHAnsi" w:hAnsiTheme="majorHAnsi"/>
          <w:color w:val="000000" w:themeColor="text1"/>
          <w:sz w:val="22"/>
          <w:szCs w:val="22"/>
        </w:rPr>
      </w:pPr>
      <w:r>
        <w:rPr>
          <w:rFonts w:asciiTheme="majorHAnsi" w:hAnsiTheme="majorHAnsi"/>
          <w:color w:val="000000" w:themeColor="text1"/>
          <w:sz w:val="22"/>
          <w:szCs w:val="22"/>
        </w:rPr>
        <w:t>(</w:t>
      </w:r>
      <w:r w:rsidR="00197C62" w:rsidRPr="00197C62">
        <w:rPr>
          <w:rFonts w:asciiTheme="majorHAnsi" w:hAnsiTheme="majorHAnsi"/>
          <w:color w:val="000000" w:themeColor="text1"/>
          <w:sz w:val="22"/>
          <w:szCs w:val="22"/>
        </w:rPr>
        <w:t>Team- Teaching</w:t>
      </w:r>
      <w:r w:rsidR="00AD7871">
        <w:rPr>
          <w:rFonts w:asciiTheme="majorHAnsi" w:hAnsiTheme="majorHAnsi"/>
          <w:color w:val="000000" w:themeColor="text1"/>
          <w:sz w:val="22"/>
          <w:szCs w:val="22"/>
        </w:rPr>
        <w:t xml:space="preserve"> nach Bedarf &amp; individueller Absprache</w:t>
      </w:r>
      <w:r>
        <w:rPr>
          <w:rFonts w:asciiTheme="majorHAnsi" w:hAnsiTheme="majorHAnsi"/>
          <w:color w:val="000000" w:themeColor="text1"/>
          <w:sz w:val="22"/>
          <w:szCs w:val="22"/>
        </w:rPr>
        <w:t>)</w:t>
      </w:r>
    </w:p>
    <w:p w:rsidR="00963EB1" w:rsidRDefault="00963EB1" w:rsidP="00421FFC">
      <w:pPr>
        <w:pStyle w:val="Listenabsatz"/>
        <w:numPr>
          <w:ilvl w:val="1"/>
          <w:numId w:val="14"/>
        </w:numPr>
        <w:tabs>
          <w:tab w:val="left" w:pos="426"/>
        </w:tabs>
        <w:ind w:left="1134" w:hanging="425"/>
        <w:rPr>
          <w:rFonts w:asciiTheme="majorHAnsi" w:hAnsiTheme="majorHAnsi"/>
          <w:color w:val="000000" w:themeColor="text1"/>
          <w:sz w:val="22"/>
          <w:szCs w:val="22"/>
        </w:rPr>
      </w:pPr>
      <w:r>
        <w:rPr>
          <w:rFonts w:asciiTheme="majorHAnsi" w:hAnsiTheme="majorHAnsi"/>
          <w:color w:val="000000" w:themeColor="text1"/>
          <w:sz w:val="22"/>
          <w:szCs w:val="22"/>
        </w:rPr>
        <w:t>…</w:t>
      </w:r>
    </w:p>
    <w:p w:rsidR="00E66705" w:rsidRDefault="00E66705" w:rsidP="00E66705">
      <w:pPr>
        <w:pStyle w:val="Listenabsatz"/>
        <w:tabs>
          <w:tab w:val="left" w:pos="426"/>
        </w:tabs>
        <w:ind w:left="1134"/>
        <w:jc w:val="both"/>
        <w:rPr>
          <w:rFonts w:asciiTheme="majorHAnsi" w:hAnsiTheme="majorHAnsi"/>
          <w:color w:val="000000" w:themeColor="text1"/>
          <w:sz w:val="22"/>
          <w:szCs w:val="22"/>
        </w:rPr>
      </w:pPr>
    </w:p>
    <w:p w:rsidR="00C1747C" w:rsidRDefault="00C1747C" w:rsidP="00E66705">
      <w:pPr>
        <w:pStyle w:val="Listenabsatz"/>
        <w:rPr>
          <w:rFonts w:asciiTheme="majorHAnsi" w:hAnsiTheme="majorHAnsi"/>
          <w:color w:val="000000" w:themeColor="text1"/>
          <w:sz w:val="22"/>
          <w:szCs w:val="22"/>
        </w:rPr>
      </w:pPr>
    </w:p>
    <w:p w:rsidR="00127429" w:rsidRPr="00905084" w:rsidRDefault="00127429" w:rsidP="00E66705">
      <w:pPr>
        <w:pStyle w:val="Listenabsatz"/>
        <w:numPr>
          <w:ilvl w:val="0"/>
          <w:numId w:val="21"/>
        </w:numPr>
        <w:tabs>
          <w:tab w:val="left" w:pos="426"/>
        </w:tabs>
        <w:ind w:left="284" w:hanging="142"/>
        <w:jc w:val="both"/>
        <w:rPr>
          <w:rFonts w:asciiTheme="majorHAnsi" w:hAnsiTheme="majorHAnsi"/>
          <w:b/>
          <w:u w:val="single"/>
        </w:rPr>
      </w:pPr>
      <w:r w:rsidRPr="00905084">
        <w:rPr>
          <w:rFonts w:asciiTheme="majorHAnsi" w:hAnsiTheme="majorHAnsi"/>
          <w:b/>
          <w:u w:val="single"/>
        </w:rPr>
        <w:t xml:space="preserve">Gestaltung </w:t>
      </w:r>
      <w:r w:rsidR="00E4790C" w:rsidRPr="00905084">
        <w:rPr>
          <w:rFonts w:asciiTheme="majorHAnsi" w:hAnsiTheme="majorHAnsi"/>
          <w:b/>
          <w:u w:val="single"/>
        </w:rPr>
        <w:t>des Unterrichts</w:t>
      </w:r>
    </w:p>
    <w:p w:rsidR="00127429" w:rsidRDefault="00127429" w:rsidP="00E66705">
      <w:pPr>
        <w:tabs>
          <w:tab w:val="left" w:pos="426"/>
        </w:tabs>
        <w:contextualSpacing/>
        <w:jc w:val="both"/>
        <w:rPr>
          <w:rFonts w:asciiTheme="majorHAnsi" w:hAnsiTheme="majorHAnsi"/>
          <w:b/>
          <w:sz w:val="22"/>
          <w:szCs w:val="22"/>
        </w:rPr>
      </w:pPr>
    </w:p>
    <w:p w:rsidR="00CD50FB" w:rsidRDefault="00CD50FB" w:rsidP="00E66705">
      <w:pPr>
        <w:tabs>
          <w:tab w:val="left" w:pos="426"/>
        </w:tabs>
        <w:contextualSpacing/>
        <w:jc w:val="both"/>
        <w:rPr>
          <w:rFonts w:asciiTheme="majorHAnsi" w:hAnsiTheme="majorHAnsi"/>
          <w:sz w:val="22"/>
          <w:szCs w:val="22"/>
        </w:rPr>
      </w:pPr>
      <w:r w:rsidRPr="00CD50FB">
        <w:rPr>
          <w:rFonts w:asciiTheme="majorHAnsi" w:hAnsiTheme="majorHAnsi"/>
          <w:sz w:val="22"/>
          <w:szCs w:val="22"/>
        </w:rPr>
        <w:t>Herausforderung</w:t>
      </w:r>
      <w:r>
        <w:rPr>
          <w:rFonts w:asciiTheme="majorHAnsi" w:hAnsiTheme="majorHAnsi"/>
          <w:sz w:val="22"/>
          <w:szCs w:val="22"/>
        </w:rPr>
        <w:t xml:space="preserve">: Unterricht für Schülerinnen und Schüler mit und ohne Anspruch auf sonderpädagogische Förderung so gestalten, dass ihren individuellen Lernvoraussetzungen und den unterschiedlichen Lernzielen (Lernziele der </w:t>
      </w:r>
      <w:r w:rsidR="00335B37">
        <w:rPr>
          <w:rFonts w:asciiTheme="majorHAnsi" w:hAnsiTheme="majorHAnsi"/>
          <w:sz w:val="22"/>
          <w:szCs w:val="22"/>
        </w:rPr>
        <w:t>Allgemeinen Schule</w:t>
      </w:r>
      <w:r>
        <w:rPr>
          <w:rFonts w:asciiTheme="majorHAnsi" w:hAnsiTheme="majorHAnsi"/>
          <w:sz w:val="22"/>
          <w:szCs w:val="22"/>
        </w:rPr>
        <w:t>/ Lernziele der Schule mit dem Förderschwerpunkt Lernen) entsprochen wird.</w:t>
      </w:r>
    </w:p>
    <w:p w:rsidR="00CD50FB" w:rsidRDefault="00CD50FB" w:rsidP="00E66705">
      <w:pPr>
        <w:tabs>
          <w:tab w:val="left" w:pos="426"/>
        </w:tabs>
        <w:contextualSpacing/>
        <w:jc w:val="both"/>
        <w:rPr>
          <w:rFonts w:asciiTheme="majorHAnsi" w:hAnsiTheme="majorHAnsi"/>
          <w:sz w:val="22"/>
          <w:szCs w:val="22"/>
        </w:rPr>
      </w:pPr>
    </w:p>
    <w:p w:rsidR="00CD50FB" w:rsidRDefault="00C41D88" w:rsidP="00E66705">
      <w:pPr>
        <w:pStyle w:val="Listenabsatz"/>
        <w:numPr>
          <w:ilvl w:val="0"/>
          <w:numId w:val="15"/>
        </w:numPr>
        <w:tabs>
          <w:tab w:val="left" w:pos="426"/>
        </w:tabs>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Unterrichtsinhalte des Lehrplans der Schule mit dem Förderschwerpunkt Lernen sowie die Stundentafel orientieren sich (mit Ausnahme des Faches Englisch) </w:t>
      </w:r>
      <w:r w:rsidR="00EF77A3">
        <w:rPr>
          <w:rFonts w:asciiTheme="majorHAnsi" w:hAnsiTheme="majorHAnsi"/>
          <w:color w:val="000000" w:themeColor="text1"/>
          <w:sz w:val="22"/>
          <w:szCs w:val="22"/>
        </w:rPr>
        <w:t xml:space="preserve">in vielen Bereichen grundsätzlich </w:t>
      </w:r>
      <w:r w:rsidR="00335B37">
        <w:rPr>
          <w:rFonts w:asciiTheme="majorHAnsi" w:hAnsiTheme="majorHAnsi"/>
          <w:color w:val="000000" w:themeColor="text1"/>
          <w:sz w:val="22"/>
          <w:szCs w:val="22"/>
        </w:rPr>
        <w:t>am Lehrplan der Allgemeinen Schule</w:t>
      </w:r>
      <w:r>
        <w:rPr>
          <w:rFonts w:asciiTheme="majorHAnsi" w:hAnsiTheme="majorHAnsi"/>
          <w:color w:val="000000" w:themeColor="text1"/>
          <w:sz w:val="22"/>
          <w:szCs w:val="22"/>
        </w:rPr>
        <w:t xml:space="preserve"> </w:t>
      </w:r>
    </w:p>
    <w:p w:rsidR="0067727D" w:rsidRDefault="0067727D" w:rsidP="00E66705">
      <w:pPr>
        <w:pStyle w:val="Listenabsatz"/>
        <w:tabs>
          <w:tab w:val="left" w:pos="426"/>
        </w:tabs>
        <w:jc w:val="both"/>
        <w:rPr>
          <w:rFonts w:asciiTheme="majorHAnsi" w:hAnsiTheme="majorHAnsi"/>
          <w:color w:val="000000" w:themeColor="text1"/>
          <w:sz w:val="22"/>
          <w:szCs w:val="22"/>
        </w:rPr>
      </w:pPr>
    </w:p>
    <w:p w:rsidR="00C41D88" w:rsidRDefault="00C41D88" w:rsidP="00E66705">
      <w:pPr>
        <w:pStyle w:val="Listenabsatz"/>
        <w:numPr>
          <w:ilvl w:val="0"/>
          <w:numId w:val="15"/>
        </w:numPr>
        <w:tabs>
          <w:tab w:val="left" w:pos="426"/>
        </w:tabs>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Themen, die im Lehrplan für die </w:t>
      </w:r>
      <w:r w:rsidR="00335B37">
        <w:rPr>
          <w:rFonts w:asciiTheme="majorHAnsi" w:hAnsiTheme="majorHAnsi"/>
          <w:color w:val="000000" w:themeColor="text1"/>
          <w:sz w:val="22"/>
          <w:szCs w:val="22"/>
        </w:rPr>
        <w:t>Allgemeine Schule</w:t>
      </w:r>
      <w:r>
        <w:rPr>
          <w:rFonts w:asciiTheme="majorHAnsi" w:hAnsiTheme="majorHAnsi"/>
          <w:color w:val="000000" w:themeColor="text1"/>
          <w:sz w:val="22"/>
          <w:szCs w:val="22"/>
        </w:rPr>
        <w:t xml:space="preserve"> für den entsprechenden Jahrgang vorgesehen sind, </w:t>
      </w:r>
      <w:r w:rsidR="00E66705">
        <w:rPr>
          <w:rFonts w:asciiTheme="majorHAnsi" w:hAnsiTheme="majorHAnsi"/>
          <w:color w:val="000000" w:themeColor="text1"/>
          <w:sz w:val="22"/>
          <w:szCs w:val="22"/>
        </w:rPr>
        <w:t xml:space="preserve">können in der Regel den </w:t>
      </w:r>
      <w:r>
        <w:rPr>
          <w:rFonts w:asciiTheme="majorHAnsi" w:hAnsiTheme="majorHAnsi"/>
          <w:color w:val="000000" w:themeColor="text1"/>
          <w:sz w:val="22"/>
          <w:szCs w:val="22"/>
        </w:rPr>
        <w:t xml:space="preserve">Orientierungsrahmen </w:t>
      </w:r>
      <w:r w:rsidR="00E66705">
        <w:rPr>
          <w:rFonts w:asciiTheme="majorHAnsi" w:hAnsiTheme="majorHAnsi"/>
          <w:color w:val="000000" w:themeColor="text1"/>
          <w:sz w:val="22"/>
          <w:szCs w:val="22"/>
        </w:rPr>
        <w:t>bieten, i</w:t>
      </w:r>
      <w:r>
        <w:rPr>
          <w:rFonts w:asciiTheme="majorHAnsi" w:hAnsiTheme="majorHAnsi"/>
          <w:color w:val="000000" w:themeColor="text1"/>
          <w:sz w:val="22"/>
          <w:szCs w:val="22"/>
        </w:rPr>
        <w:t>n dem alle Schülerinnen und Schüler</w:t>
      </w:r>
      <w:r w:rsidR="00E66705">
        <w:rPr>
          <w:rFonts w:asciiTheme="majorHAnsi" w:hAnsiTheme="majorHAnsi"/>
          <w:color w:val="000000" w:themeColor="text1"/>
          <w:sz w:val="22"/>
          <w:szCs w:val="22"/>
        </w:rPr>
        <w:t xml:space="preserve"> </w:t>
      </w:r>
      <w:r w:rsidR="00E66705" w:rsidRPr="00E66705">
        <w:rPr>
          <w:rFonts w:asciiTheme="majorHAnsi" w:hAnsiTheme="majorHAnsi"/>
          <w:color w:val="000000" w:themeColor="text1"/>
          <w:sz w:val="22"/>
          <w:szCs w:val="22"/>
          <w:u w:val="single"/>
        </w:rPr>
        <w:t>mit individuellen Differenzierungen hinsichtlich Breite, Tiefe und Grad der Anschauung</w:t>
      </w:r>
      <w:r>
        <w:rPr>
          <w:rFonts w:asciiTheme="majorHAnsi" w:hAnsiTheme="majorHAnsi"/>
          <w:color w:val="000000" w:themeColor="text1"/>
          <w:sz w:val="22"/>
          <w:szCs w:val="22"/>
        </w:rPr>
        <w:t xml:space="preserve"> lernen und arbeiten. Um den unterschiedlichen Lernvoraussetzungen gut zu entsprechen und ein möglichst hohes Maß aktiver Teilhabe zu erreichen, bieten sich zahlreiche Maßnahmen an</w:t>
      </w:r>
      <w:r w:rsidR="00435810">
        <w:rPr>
          <w:rFonts w:asciiTheme="majorHAnsi" w:hAnsiTheme="majorHAnsi"/>
          <w:color w:val="000000" w:themeColor="text1"/>
          <w:sz w:val="22"/>
          <w:szCs w:val="22"/>
        </w:rPr>
        <w:t>:</w:t>
      </w:r>
    </w:p>
    <w:p w:rsidR="001438E1" w:rsidRDefault="001438E1" w:rsidP="00E66705">
      <w:pPr>
        <w:tabs>
          <w:tab w:val="left" w:pos="426"/>
        </w:tabs>
        <w:rPr>
          <w:rFonts w:asciiTheme="majorHAnsi" w:hAnsiTheme="majorHAnsi"/>
          <w:sz w:val="22"/>
          <w:szCs w:val="22"/>
        </w:rPr>
      </w:pPr>
    </w:p>
    <w:p w:rsidR="001438E1" w:rsidRPr="00E66705" w:rsidRDefault="001438E1" w:rsidP="00E66705">
      <w:pPr>
        <w:pStyle w:val="Listenabsatz"/>
        <w:numPr>
          <w:ilvl w:val="1"/>
          <w:numId w:val="14"/>
        </w:numPr>
        <w:ind w:left="1134" w:hanging="425"/>
        <w:rPr>
          <w:rFonts w:asciiTheme="majorHAnsi" w:hAnsiTheme="majorHAnsi"/>
          <w:sz w:val="22"/>
          <w:szCs w:val="22"/>
          <w:u w:val="single"/>
        </w:rPr>
      </w:pPr>
      <w:r w:rsidRPr="00E66705">
        <w:rPr>
          <w:rFonts w:asciiTheme="majorHAnsi" w:hAnsiTheme="majorHAnsi"/>
          <w:color w:val="000000" w:themeColor="text1"/>
          <w:sz w:val="22"/>
          <w:szCs w:val="22"/>
          <w:u w:val="single"/>
        </w:rPr>
        <w:t>Unmittelbare</w:t>
      </w:r>
      <w:r w:rsidRPr="00E66705">
        <w:rPr>
          <w:rFonts w:asciiTheme="majorHAnsi" w:hAnsiTheme="majorHAnsi"/>
          <w:sz w:val="22"/>
          <w:szCs w:val="22"/>
          <w:u w:val="single"/>
        </w:rPr>
        <w:t xml:space="preserve"> Anleitung und Zuwendung</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„Drankommen“ bei leichten Aufgaben</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Individuelle Erklärung des Arbeitsauftrags durch Lehrer/ Schüler</w:t>
      </w:r>
      <w:r w:rsidRPr="001438E1">
        <w:rPr>
          <w:rFonts w:asciiTheme="majorHAnsi" w:hAnsiTheme="majorHAnsi"/>
          <w:sz w:val="22"/>
          <w:szCs w:val="22"/>
        </w:rPr>
        <w:tab/>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Einsatz von „Lernpaten“</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lastRenderedPageBreak/>
        <w:t>Unmittelbare Hilfe/ zusätzliche Erläuterung bei Schwierigkeiten während den Arbeitsphasen</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w:t>
      </w:r>
    </w:p>
    <w:p w:rsidR="001438E1" w:rsidRPr="00E66705" w:rsidRDefault="001438E1" w:rsidP="00E66705">
      <w:pPr>
        <w:pStyle w:val="Listenabsatz"/>
        <w:numPr>
          <w:ilvl w:val="1"/>
          <w:numId w:val="14"/>
        </w:numPr>
        <w:ind w:left="1134" w:hanging="425"/>
        <w:rPr>
          <w:rFonts w:asciiTheme="majorHAnsi" w:hAnsiTheme="majorHAnsi"/>
          <w:color w:val="000000" w:themeColor="text1"/>
          <w:sz w:val="22"/>
          <w:szCs w:val="22"/>
          <w:u w:val="single"/>
        </w:rPr>
      </w:pPr>
      <w:r w:rsidRPr="00E66705">
        <w:rPr>
          <w:rFonts w:asciiTheme="majorHAnsi" w:hAnsiTheme="majorHAnsi"/>
          <w:color w:val="000000" w:themeColor="text1"/>
          <w:sz w:val="22"/>
          <w:szCs w:val="22"/>
          <w:u w:val="single"/>
        </w:rPr>
        <w:t>Differenzierte Hilfen</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 xml:space="preserve">Angepasstes Unterrichtsmaterial (anderes Lehrbuch, differenzierte </w:t>
      </w:r>
      <w:r w:rsidR="007F7C6A">
        <w:rPr>
          <w:rFonts w:asciiTheme="majorHAnsi" w:hAnsiTheme="majorHAnsi"/>
          <w:sz w:val="22"/>
          <w:szCs w:val="22"/>
        </w:rPr>
        <w:t xml:space="preserve">Arbeitsblätter, </w:t>
      </w:r>
      <w:r w:rsidRPr="001438E1">
        <w:rPr>
          <w:rFonts w:asciiTheme="majorHAnsi" w:hAnsiTheme="majorHAnsi"/>
          <w:sz w:val="22"/>
          <w:szCs w:val="22"/>
        </w:rPr>
        <w:t>Anschauungsmaterial o.ä.)</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Hilfsmittel zum Lernen (</w:t>
      </w:r>
      <w:proofErr w:type="spellStart"/>
      <w:r w:rsidRPr="001438E1">
        <w:rPr>
          <w:rFonts w:asciiTheme="majorHAnsi" w:hAnsiTheme="majorHAnsi"/>
          <w:sz w:val="22"/>
          <w:szCs w:val="22"/>
        </w:rPr>
        <w:t>Einmaleinstafel</w:t>
      </w:r>
      <w:proofErr w:type="spellEnd"/>
      <w:r w:rsidRPr="001438E1">
        <w:rPr>
          <w:rFonts w:asciiTheme="majorHAnsi" w:hAnsiTheme="majorHAnsi"/>
          <w:sz w:val="22"/>
          <w:szCs w:val="22"/>
        </w:rPr>
        <w:t>, TR, Wörterbuch, Computer, andere Medien, Erläuterungen o.ä.)</w:t>
      </w:r>
      <w:r w:rsidRPr="001438E1">
        <w:rPr>
          <w:rFonts w:asciiTheme="majorHAnsi" w:hAnsiTheme="majorHAnsi"/>
          <w:sz w:val="22"/>
          <w:szCs w:val="22"/>
        </w:rPr>
        <w:tab/>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Zusatzmaterial</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w:t>
      </w:r>
    </w:p>
    <w:p w:rsidR="001438E1" w:rsidRPr="00E66705" w:rsidRDefault="00435810" w:rsidP="00E66705">
      <w:pPr>
        <w:pStyle w:val="Listenabsatz"/>
        <w:numPr>
          <w:ilvl w:val="1"/>
          <w:numId w:val="14"/>
        </w:numPr>
        <w:ind w:left="1134" w:hanging="425"/>
        <w:rPr>
          <w:rFonts w:asciiTheme="majorHAnsi" w:hAnsiTheme="majorHAnsi"/>
          <w:color w:val="000000" w:themeColor="text1"/>
          <w:sz w:val="22"/>
          <w:szCs w:val="22"/>
          <w:u w:val="single"/>
        </w:rPr>
      </w:pPr>
      <w:r w:rsidRPr="00E66705">
        <w:rPr>
          <w:rFonts w:asciiTheme="majorHAnsi" w:hAnsiTheme="majorHAnsi"/>
          <w:color w:val="000000" w:themeColor="text1"/>
          <w:sz w:val="22"/>
          <w:szCs w:val="22"/>
          <w:u w:val="single"/>
        </w:rPr>
        <w:t xml:space="preserve">Anpassung von </w:t>
      </w:r>
      <w:r w:rsidR="001438E1" w:rsidRPr="00E66705">
        <w:rPr>
          <w:rFonts w:asciiTheme="majorHAnsi" w:hAnsiTheme="majorHAnsi"/>
          <w:color w:val="000000" w:themeColor="text1"/>
          <w:sz w:val="22"/>
          <w:szCs w:val="22"/>
          <w:u w:val="single"/>
        </w:rPr>
        <w:t>Inhalte</w:t>
      </w:r>
      <w:r w:rsidRPr="00E66705">
        <w:rPr>
          <w:rFonts w:asciiTheme="majorHAnsi" w:hAnsiTheme="majorHAnsi"/>
          <w:color w:val="000000" w:themeColor="text1"/>
          <w:sz w:val="22"/>
          <w:szCs w:val="22"/>
          <w:u w:val="single"/>
        </w:rPr>
        <w:t>n</w:t>
      </w:r>
      <w:r w:rsidR="001438E1" w:rsidRPr="00E66705">
        <w:rPr>
          <w:rFonts w:asciiTheme="majorHAnsi" w:hAnsiTheme="majorHAnsi"/>
          <w:color w:val="000000" w:themeColor="text1"/>
          <w:sz w:val="22"/>
          <w:szCs w:val="22"/>
          <w:u w:val="single"/>
        </w:rPr>
        <w:t>/ Aufgaben</w:t>
      </w:r>
    </w:p>
    <w:p w:rsidR="001438E1" w:rsidRDefault="00435810"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 xml:space="preserve">Reduktion der </w:t>
      </w:r>
      <w:r w:rsidR="001438E1" w:rsidRPr="001438E1">
        <w:rPr>
          <w:rFonts w:asciiTheme="majorHAnsi" w:hAnsiTheme="majorHAnsi"/>
          <w:sz w:val="22"/>
          <w:szCs w:val="22"/>
        </w:rPr>
        <w:t>Anzahl der Aufgaben</w:t>
      </w:r>
    </w:p>
    <w:p w:rsidR="001438E1" w:rsidRPr="001438E1" w:rsidRDefault="00435810"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 xml:space="preserve">Reduktion des </w:t>
      </w:r>
      <w:r w:rsidR="001438E1" w:rsidRPr="001438E1">
        <w:rPr>
          <w:rFonts w:asciiTheme="majorHAnsi" w:hAnsiTheme="majorHAnsi"/>
          <w:sz w:val="22"/>
          <w:szCs w:val="22"/>
        </w:rPr>
        <w:t>Umfang</w:t>
      </w:r>
      <w:r>
        <w:rPr>
          <w:rFonts w:asciiTheme="majorHAnsi" w:hAnsiTheme="majorHAnsi"/>
          <w:sz w:val="22"/>
          <w:szCs w:val="22"/>
        </w:rPr>
        <w:t>s</w:t>
      </w:r>
      <w:r w:rsidR="001438E1" w:rsidRPr="001438E1">
        <w:rPr>
          <w:rFonts w:asciiTheme="majorHAnsi" w:hAnsiTheme="majorHAnsi"/>
          <w:sz w:val="22"/>
          <w:szCs w:val="22"/>
        </w:rPr>
        <w:t xml:space="preserve"> (zeitlich/ stofflich)</w:t>
      </w:r>
    </w:p>
    <w:p w:rsidR="001438E1" w:rsidRDefault="00435810"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 xml:space="preserve">Reduktion des </w:t>
      </w:r>
      <w:r w:rsidR="001438E1" w:rsidRPr="001438E1">
        <w:rPr>
          <w:rFonts w:asciiTheme="majorHAnsi" w:hAnsiTheme="majorHAnsi"/>
          <w:sz w:val="22"/>
          <w:szCs w:val="22"/>
        </w:rPr>
        <w:t>Anspruchsniveau</w:t>
      </w:r>
      <w:r>
        <w:rPr>
          <w:rFonts w:asciiTheme="majorHAnsi" w:hAnsiTheme="majorHAnsi"/>
          <w:sz w:val="22"/>
          <w:szCs w:val="22"/>
        </w:rPr>
        <w:t>s</w:t>
      </w:r>
      <w:r w:rsidR="001438E1" w:rsidRPr="001438E1">
        <w:rPr>
          <w:rFonts w:asciiTheme="majorHAnsi" w:hAnsiTheme="majorHAnsi"/>
          <w:sz w:val="22"/>
          <w:szCs w:val="22"/>
        </w:rPr>
        <w:t xml:space="preserve"> (z.B. auch </w:t>
      </w:r>
      <w:r>
        <w:rPr>
          <w:rFonts w:asciiTheme="majorHAnsi" w:hAnsiTheme="majorHAnsi"/>
          <w:sz w:val="22"/>
          <w:szCs w:val="22"/>
        </w:rPr>
        <w:t xml:space="preserve">durch Einsatz von </w:t>
      </w:r>
      <w:r w:rsidR="001438E1" w:rsidRPr="001438E1">
        <w:rPr>
          <w:rFonts w:asciiTheme="majorHAnsi" w:hAnsiTheme="majorHAnsi"/>
          <w:sz w:val="22"/>
          <w:szCs w:val="22"/>
        </w:rPr>
        <w:t>Kompetenzraster</w:t>
      </w:r>
      <w:r>
        <w:rPr>
          <w:rFonts w:asciiTheme="majorHAnsi" w:hAnsiTheme="majorHAnsi"/>
          <w:sz w:val="22"/>
          <w:szCs w:val="22"/>
        </w:rPr>
        <w:t>n</w:t>
      </w:r>
      <w:r w:rsidR="001438E1" w:rsidRPr="001438E1">
        <w:rPr>
          <w:rFonts w:asciiTheme="majorHAnsi" w:hAnsiTheme="majorHAnsi"/>
          <w:sz w:val="22"/>
          <w:szCs w:val="22"/>
        </w:rPr>
        <w:t>)</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Offene Aufgabenstellung</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Differenzierte Hausaufgaben</w:t>
      </w:r>
    </w:p>
    <w:p w:rsidR="001438E1" w:rsidRDefault="00435810"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 xml:space="preserve">Schülerbezogene Anpassung der </w:t>
      </w:r>
      <w:r w:rsidR="001438E1" w:rsidRPr="001438E1">
        <w:rPr>
          <w:rFonts w:asciiTheme="majorHAnsi" w:hAnsiTheme="majorHAnsi"/>
          <w:sz w:val="22"/>
          <w:szCs w:val="22"/>
        </w:rPr>
        <w:t>Art der Bearbeitung (schriftlich, mündlich, Lehrbuch, experimentell, …)</w:t>
      </w:r>
      <w:r w:rsidR="001438E1" w:rsidRPr="001438E1">
        <w:rPr>
          <w:rFonts w:asciiTheme="majorHAnsi" w:hAnsiTheme="majorHAnsi"/>
          <w:sz w:val="22"/>
          <w:szCs w:val="22"/>
        </w:rPr>
        <w:tab/>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w:t>
      </w:r>
    </w:p>
    <w:p w:rsidR="001438E1" w:rsidRPr="00E66705" w:rsidRDefault="00435810" w:rsidP="00E66705">
      <w:pPr>
        <w:pStyle w:val="Listenabsatz"/>
        <w:numPr>
          <w:ilvl w:val="1"/>
          <w:numId w:val="14"/>
        </w:numPr>
        <w:ind w:left="1134" w:hanging="425"/>
        <w:rPr>
          <w:rFonts w:asciiTheme="majorHAnsi" w:hAnsiTheme="majorHAnsi"/>
          <w:color w:val="000000" w:themeColor="text1"/>
          <w:sz w:val="22"/>
          <w:szCs w:val="22"/>
          <w:u w:val="single"/>
        </w:rPr>
      </w:pPr>
      <w:r w:rsidRPr="00E66705">
        <w:rPr>
          <w:rFonts w:asciiTheme="majorHAnsi" w:hAnsiTheme="majorHAnsi"/>
          <w:color w:val="000000" w:themeColor="text1"/>
          <w:sz w:val="22"/>
          <w:szCs w:val="22"/>
          <w:u w:val="single"/>
        </w:rPr>
        <w:t xml:space="preserve">Auswahl geeigneter </w:t>
      </w:r>
      <w:r w:rsidR="001438E1" w:rsidRPr="00E66705">
        <w:rPr>
          <w:rFonts w:asciiTheme="majorHAnsi" w:hAnsiTheme="majorHAnsi"/>
          <w:color w:val="000000" w:themeColor="text1"/>
          <w:sz w:val="22"/>
          <w:szCs w:val="22"/>
          <w:u w:val="single"/>
        </w:rPr>
        <w:t>Methoden</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Wochenplanarbeit</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Portfolioarbeit</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„Lerntheke“ mit unterschiedlichen Lernangeboten/ Stationsarbeit</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Projektarbeit/ individuelles Erarbeiten eines motivierenden Themas</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Arbeitsteilige Themenstellung</w:t>
      </w:r>
    </w:p>
    <w:p w:rsidR="001438E1" w:rsidRDefault="001438E1" w:rsidP="00E66705">
      <w:pPr>
        <w:pStyle w:val="Listenabsatz"/>
        <w:numPr>
          <w:ilvl w:val="2"/>
          <w:numId w:val="23"/>
        </w:numPr>
        <w:tabs>
          <w:tab w:val="left" w:pos="426"/>
        </w:tabs>
        <w:ind w:left="1418" w:hanging="284"/>
        <w:rPr>
          <w:rFonts w:asciiTheme="majorHAnsi" w:hAnsiTheme="majorHAnsi"/>
          <w:sz w:val="22"/>
          <w:szCs w:val="22"/>
        </w:rPr>
      </w:pPr>
      <w:r w:rsidRPr="001438E1">
        <w:rPr>
          <w:rFonts w:asciiTheme="majorHAnsi" w:hAnsiTheme="majorHAnsi"/>
          <w:sz w:val="22"/>
          <w:szCs w:val="22"/>
        </w:rPr>
        <w:t>Unterschiedliche Sozialformen</w:t>
      </w:r>
    </w:p>
    <w:p w:rsidR="00700AD4" w:rsidRDefault="00700AD4" w:rsidP="00E66705">
      <w:pPr>
        <w:pStyle w:val="Listenabsatz"/>
        <w:numPr>
          <w:ilvl w:val="2"/>
          <w:numId w:val="23"/>
        </w:numPr>
        <w:tabs>
          <w:tab w:val="left" w:pos="426"/>
        </w:tabs>
        <w:ind w:left="1418" w:hanging="284"/>
        <w:rPr>
          <w:rFonts w:asciiTheme="majorHAnsi" w:hAnsiTheme="majorHAnsi"/>
          <w:sz w:val="22"/>
          <w:szCs w:val="22"/>
        </w:rPr>
      </w:pPr>
      <w:r>
        <w:rPr>
          <w:rFonts w:asciiTheme="majorHAnsi" w:hAnsiTheme="majorHAnsi"/>
          <w:sz w:val="22"/>
          <w:szCs w:val="22"/>
        </w:rPr>
        <w:t>…</w:t>
      </w:r>
    </w:p>
    <w:p w:rsidR="00700AD4" w:rsidRDefault="00700AD4" w:rsidP="00E66705">
      <w:pPr>
        <w:tabs>
          <w:tab w:val="left" w:pos="426"/>
        </w:tabs>
        <w:rPr>
          <w:rFonts w:asciiTheme="majorHAnsi" w:hAnsiTheme="majorHAnsi"/>
          <w:sz w:val="22"/>
          <w:szCs w:val="22"/>
        </w:rPr>
      </w:pPr>
    </w:p>
    <w:p w:rsidR="001438E1" w:rsidRPr="001438E1" w:rsidRDefault="00E44A7B" w:rsidP="00E66705">
      <w:pPr>
        <w:tabs>
          <w:tab w:val="left" w:pos="426"/>
        </w:tabs>
        <w:rPr>
          <w:rFonts w:asciiTheme="majorHAnsi" w:hAnsiTheme="majorHAnsi"/>
          <w:sz w:val="22"/>
          <w:szCs w:val="22"/>
        </w:rPr>
      </w:pPr>
      <w:r>
        <w:rPr>
          <w:rFonts w:asciiTheme="majorHAnsi" w:hAnsiTheme="majorHAnsi"/>
          <w:sz w:val="22"/>
          <w:szCs w:val="22"/>
        </w:rPr>
        <w:t xml:space="preserve"> </w:t>
      </w:r>
    </w:p>
    <w:p w:rsidR="00DF2A15" w:rsidRPr="00905084" w:rsidRDefault="00E44A7B" w:rsidP="00E66705">
      <w:pPr>
        <w:pStyle w:val="Listenabsatz"/>
        <w:numPr>
          <w:ilvl w:val="0"/>
          <w:numId w:val="21"/>
        </w:numPr>
        <w:tabs>
          <w:tab w:val="left" w:pos="426"/>
        </w:tabs>
        <w:ind w:left="284" w:hanging="142"/>
        <w:jc w:val="both"/>
        <w:rPr>
          <w:rFonts w:asciiTheme="majorHAnsi" w:hAnsiTheme="majorHAnsi"/>
          <w:b/>
          <w:u w:val="single"/>
        </w:rPr>
      </w:pPr>
      <w:r w:rsidRPr="00905084">
        <w:rPr>
          <w:rFonts w:asciiTheme="majorHAnsi" w:hAnsiTheme="majorHAnsi"/>
          <w:b/>
          <w:u w:val="single"/>
        </w:rPr>
        <w:t>Leistungsfeststellung und -bewertung</w:t>
      </w:r>
    </w:p>
    <w:p w:rsidR="00E44A7B" w:rsidRDefault="00E44A7B" w:rsidP="00E66705">
      <w:pPr>
        <w:tabs>
          <w:tab w:val="left" w:pos="426"/>
        </w:tabs>
        <w:jc w:val="both"/>
        <w:rPr>
          <w:rFonts w:asciiTheme="majorHAnsi" w:hAnsiTheme="majorHAnsi"/>
          <w:b/>
          <w:sz w:val="22"/>
          <w:szCs w:val="22"/>
          <w:u w:val="single"/>
        </w:rPr>
      </w:pPr>
    </w:p>
    <w:p w:rsidR="00534704" w:rsidRPr="00EF77A3" w:rsidRDefault="00E44A7B" w:rsidP="00E66705">
      <w:pPr>
        <w:pStyle w:val="Listenabsatz"/>
        <w:numPr>
          <w:ilvl w:val="0"/>
          <w:numId w:val="15"/>
        </w:numPr>
        <w:tabs>
          <w:tab w:val="left" w:pos="426"/>
        </w:tabs>
        <w:jc w:val="both"/>
        <w:rPr>
          <w:rFonts w:eastAsia="Times New Roman" w:cs="Calibri"/>
          <w:lang w:eastAsia="de-DE"/>
        </w:rPr>
      </w:pPr>
      <w:r w:rsidRPr="00EF77A3">
        <w:rPr>
          <w:rFonts w:asciiTheme="majorHAnsi" w:hAnsiTheme="majorHAnsi"/>
          <w:color w:val="000000" w:themeColor="text1"/>
          <w:sz w:val="22"/>
          <w:szCs w:val="22"/>
        </w:rPr>
        <w:t>Schülerinnen und Schüler mit Anspruch auf sonderpädagogische Förderung mit de</w:t>
      </w:r>
      <w:r w:rsidR="0052200A">
        <w:rPr>
          <w:rFonts w:asciiTheme="majorHAnsi" w:hAnsiTheme="majorHAnsi"/>
          <w:color w:val="000000" w:themeColor="text1"/>
          <w:sz w:val="22"/>
          <w:szCs w:val="22"/>
        </w:rPr>
        <w:t>m</w:t>
      </w:r>
      <w:bookmarkStart w:id="0" w:name="_GoBack"/>
      <w:bookmarkEnd w:id="0"/>
      <w:r w:rsidRPr="00EF77A3">
        <w:rPr>
          <w:rFonts w:asciiTheme="majorHAnsi" w:hAnsiTheme="majorHAnsi"/>
          <w:color w:val="000000" w:themeColor="text1"/>
          <w:sz w:val="22"/>
          <w:szCs w:val="22"/>
        </w:rPr>
        <w:t xml:space="preserve"> Schwerpunkt</w:t>
      </w:r>
      <w:r w:rsidRPr="00EF77A3">
        <w:rPr>
          <w:rFonts w:asciiTheme="majorHAnsi" w:hAnsiTheme="majorHAnsi"/>
          <w:sz w:val="22"/>
          <w:szCs w:val="22"/>
        </w:rPr>
        <w:t xml:space="preserve"> Lernen werden lernzieldifferent unterrichtet und entsprechend NICHT nach den allgemeinen Maßstäben für die </w:t>
      </w:r>
      <w:r w:rsidR="004C0587" w:rsidRPr="00EF77A3">
        <w:rPr>
          <w:rFonts w:asciiTheme="majorHAnsi" w:hAnsiTheme="majorHAnsi"/>
          <w:sz w:val="22"/>
          <w:szCs w:val="22"/>
        </w:rPr>
        <w:t>Schüler der allgemeinen Schule</w:t>
      </w:r>
      <w:r w:rsidRPr="00EF77A3">
        <w:rPr>
          <w:rFonts w:asciiTheme="majorHAnsi" w:hAnsiTheme="majorHAnsi"/>
          <w:sz w:val="22"/>
          <w:szCs w:val="22"/>
        </w:rPr>
        <w:t xml:space="preserve"> bewertet</w:t>
      </w:r>
      <w:r w:rsidR="00534704" w:rsidRPr="00EF77A3">
        <w:rPr>
          <w:rFonts w:asciiTheme="majorHAnsi" w:hAnsiTheme="majorHAnsi"/>
          <w:sz w:val="22"/>
          <w:szCs w:val="22"/>
        </w:rPr>
        <w:t xml:space="preserve">- die Leistungsbewertung erfolgt auf Grundlage </w:t>
      </w:r>
    </w:p>
    <w:p w:rsidR="00E66705" w:rsidRDefault="00534704" w:rsidP="00E66705">
      <w:pPr>
        <w:pStyle w:val="Listenabsatz"/>
        <w:numPr>
          <w:ilvl w:val="1"/>
          <w:numId w:val="14"/>
        </w:numPr>
        <w:ind w:left="1134" w:hanging="425"/>
        <w:rPr>
          <w:rFonts w:asciiTheme="majorHAnsi" w:hAnsiTheme="majorHAnsi"/>
          <w:sz w:val="22"/>
          <w:szCs w:val="22"/>
        </w:rPr>
      </w:pPr>
      <w:r w:rsidRPr="00E66705">
        <w:rPr>
          <w:rFonts w:asciiTheme="majorHAnsi" w:hAnsiTheme="majorHAnsi"/>
          <w:sz w:val="22"/>
          <w:szCs w:val="22"/>
        </w:rPr>
        <w:t>der Bewertung des individuellen Lernstands und Lernfortschritts gemessen an den Lernvoraussetzungen sowie</w:t>
      </w:r>
    </w:p>
    <w:p w:rsidR="00534704" w:rsidRPr="00E66705" w:rsidRDefault="00534704" w:rsidP="00E66705">
      <w:pPr>
        <w:pStyle w:val="Listenabsatz"/>
        <w:numPr>
          <w:ilvl w:val="1"/>
          <w:numId w:val="14"/>
        </w:numPr>
        <w:ind w:left="1134" w:hanging="425"/>
        <w:rPr>
          <w:rFonts w:asciiTheme="majorHAnsi" w:hAnsiTheme="majorHAnsi"/>
          <w:sz w:val="22"/>
          <w:szCs w:val="22"/>
        </w:rPr>
      </w:pPr>
      <w:r w:rsidRPr="00E66705">
        <w:rPr>
          <w:rFonts w:asciiTheme="majorHAnsi" w:hAnsiTheme="majorHAnsi"/>
          <w:sz w:val="22"/>
          <w:szCs w:val="22"/>
        </w:rPr>
        <w:t>den im Förderplan festgelegten Förderzielen</w:t>
      </w:r>
      <w:r w:rsidR="00AE0FA8" w:rsidRPr="00E66705">
        <w:rPr>
          <w:rFonts w:asciiTheme="majorHAnsi" w:hAnsiTheme="majorHAnsi"/>
          <w:sz w:val="22"/>
          <w:szCs w:val="22"/>
        </w:rPr>
        <w:t xml:space="preserve"> („Kompetenzzuwachs“)</w:t>
      </w:r>
      <w:r w:rsidRPr="00E66705">
        <w:rPr>
          <w:rFonts w:asciiTheme="majorHAnsi" w:hAnsiTheme="majorHAnsi"/>
          <w:sz w:val="22"/>
          <w:szCs w:val="22"/>
        </w:rPr>
        <w:t>,</w:t>
      </w:r>
    </w:p>
    <w:p w:rsidR="00534704" w:rsidRPr="00E66705" w:rsidRDefault="00534704" w:rsidP="00E66705">
      <w:pPr>
        <w:pStyle w:val="Listenabsatz"/>
        <w:numPr>
          <w:ilvl w:val="1"/>
          <w:numId w:val="14"/>
        </w:numPr>
        <w:ind w:left="1134" w:hanging="425"/>
        <w:rPr>
          <w:rFonts w:asciiTheme="majorHAnsi" w:hAnsiTheme="majorHAnsi"/>
          <w:sz w:val="22"/>
          <w:szCs w:val="22"/>
        </w:rPr>
      </w:pPr>
      <w:r w:rsidRPr="00E66705">
        <w:rPr>
          <w:rFonts w:asciiTheme="majorHAnsi" w:hAnsiTheme="majorHAnsi"/>
          <w:sz w:val="22"/>
          <w:szCs w:val="22"/>
        </w:rPr>
        <w:t xml:space="preserve">der Bewertung der erzielten Kompetenzen gemäß </w:t>
      </w:r>
      <w:r w:rsidR="00E66705" w:rsidRPr="00E66705">
        <w:rPr>
          <w:rFonts w:asciiTheme="majorHAnsi" w:hAnsiTheme="majorHAnsi"/>
          <w:sz w:val="22"/>
          <w:szCs w:val="22"/>
        </w:rPr>
        <w:t>den jeweiligen curricularen Vorgaben</w:t>
      </w:r>
      <w:r w:rsidRPr="00E66705">
        <w:rPr>
          <w:rFonts w:asciiTheme="majorHAnsi" w:hAnsiTheme="majorHAnsi"/>
          <w:sz w:val="22"/>
          <w:szCs w:val="22"/>
        </w:rPr>
        <w:t xml:space="preserve"> für die Schule mit dem Förderschwerpunkt Lernen</w:t>
      </w:r>
    </w:p>
    <w:p w:rsidR="00534704" w:rsidRDefault="00534704" w:rsidP="00E66705">
      <w:pPr>
        <w:tabs>
          <w:tab w:val="left" w:pos="709"/>
          <w:tab w:val="left" w:pos="1701"/>
          <w:tab w:val="left" w:pos="2552"/>
        </w:tabs>
        <w:ind w:left="720"/>
        <w:jc w:val="both"/>
        <w:rPr>
          <w:rFonts w:eastAsia="Times New Roman" w:cs="Calibri"/>
          <w:lang w:eastAsia="de-DE"/>
        </w:rPr>
      </w:pPr>
    </w:p>
    <w:p w:rsidR="00534704" w:rsidRDefault="00534704" w:rsidP="00E66705">
      <w:pPr>
        <w:pStyle w:val="Listenabsatz"/>
        <w:numPr>
          <w:ilvl w:val="0"/>
          <w:numId w:val="15"/>
        </w:numPr>
        <w:tabs>
          <w:tab w:val="left" w:pos="426"/>
        </w:tabs>
        <w:jc w:val="both"/>
        <w:rPr>
          <w:rFonts w:asciiTheme="majorHAnsi" w:hAnsiTheme="majorHAnsi"/>
          <w:sz w:val="22"/>
          <w:szCs w:val="22"/>
        </w:rPr>
      </w:pPr>
      <w:r w:rsidRPr="00534704">
        <w:rPr>
          <w:rFonts w:asciiTheme="majorHAnsi" w:hAnsiTheme="majorHAnsi"/>
          <w:sz w:val="22"/>
          <w:szCs w:val="22"/>
        </w:rPr>
        <w:t xml:space="preserve">Für die Unterrichtspraxis ergeben sich </w:t>
      </w:r>
      <w:r>
        <w:rPr>
          <w:rFonts w:asciiTheme="majorHAnsi" w:hAnsiTheme="majorHAnsi"/>
          <w:sz w:val="22"/>
          <w:szCs w:val="22"/>
        </w:rPr>
        <w:t xml:space="preserve">u.a. </w:t>
      </w:r>
      <w:r w:rsidRPr="00534704">
        <w:rPr>
          <w:rFonts w:asciiTheme="majorHAnsi" w:hAnsiTheme="majorHAnsi"/>
          <w:sz w:val="22"/>
          <w:szCs w:val="22"/>
        </w:rPr>
        <w:t xml:space="preserve">folgende </w:t>
      </w:r>
      <w:r>
        <w:rPr>
          <w:rFonts w:asciiTheme="majorHAnsi" w:hAnsiTheme="majorHAnsi"/>
          <w:sz w:val="22"/>
          <w:szCs w:val="22"/>
        </w:rPr>
        <w:t>Möglichkeiten:</w:t>
      </w:r>
    </w:p>
    <w:p w:rsidR="00534704" w:rsidRDefault="00534704" w:rsidP="00E66705">
      <w:pPr>
        <w:tabs>
          <w:tab w:val="left" w:pos="426"/>
        </w:tabs>
        <w:jc w:val="both"/>
        <w:rPr>
          <w:rFonts w:asciiTheme="majorHAnsi" w:hAnsiTheme="majorHAnsi"/>
          <w:sz w:val="22"/>
          <w:szCs w:val="22"/>
        </w:rPr>
      </w:pPr>
    </w:p>
    <w:p w:rsidR="00534704" w:rsidRDefault="00534704" w:rsidP="00E66705">
      <w:pPr>
        <w:pStyle w:val="Listenabsatz"/>
        <w:numPr>
          <w:ilvl w:val="1"/>
          <w:numId w:val="14"/>
        </w:numPr>
        <w:ind w:left="1134" w:hanging="425"/>
        <w:rPr>
          <w:rFonts w:asciiTheme="majorHAnsi" w:hAnsiTheme="majorHAnsi"/>
          <w:sz w:val="22"/>
          <w:szCs w:val="22"/>
        </w:rPr>
      </w:pPr>
      <w:r>
        <w:rPr>
          <w:rFonts w:asciiTheme="majorHAnsi" w:hAnsiTheme="majorHAnsi"/>
          <w:sz w:val="22"/>
          <w:szCs w:val="22"/>
        </w:rPr>
        <w:t xml:space="preserve">Beurteilung des Lernfortschritts anhand von Kompetenzrastern </w:t>
      </w:r>
    </w:p>
    <w:p w:rsidR="00534704" w:rsidRPr="00E66705" w:rsidRDefault="00534704"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Anpassung von Inhalten/ Aufgaben bei Klasse</w:t>
      </w:r>
      <w:r w:rsidR="00AE0FA8" w:rsidRPr="00E66705">
        <w:rPr>
          <w:rFonts w:asciiTheme="majorHAnsi" w:hAnsiTheme="majorHAnsi"/>
          <w:color w:val="000000" w:themeColor="text1"/>
          <w:sz w:val="22"/>
          <w:szCs w:val="22"/>
        </w:rPr>
        <w:t>n</w:t>
      </w:r>
      <w:r w:rsidRPr="00E66705">
        <w:rPr>
          <w:rFonts w:asciiTheme="majorHAnsi" w:hAnsiTheme="majorHAnsi"/>
          <w:color w:val="000000" w:themeColor="text1"/>
          <w:sz w:val="22"/>
          <w:szCs w:val="22"/>
        </w:rPr>
        <w:t>arbeiten (s.o.)</w:t>
      </w:r>
    </w:p>
    <w:p w:rsidR="00534704" w:rsidRPr="00E66705" w:rsidRDefault="00534704"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Angepasster Bewertungsschlüssel</w:t>
      </w:r>
    </w:p>
    <w:p w:rsidR="00AB6E12" w:rsidRPr="00E66705" w:rsidRDefault="00AB6E12"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Zeitverlängerung bei Klassenarbeiten</w:t>
      </w:r>
    </w:p>
    <w:p w:rsidR="00534704" w:rsidRPr="00E66705" w:rsidRDefault="00534704"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 xml:space="preserve">Zulassen von Hilfsmitteln </w:t>
      </w:r>
    </w:p>
    <w:p w:rsidR="00AB6E12" w:rsidRPr="00E66705" w:rsidRDefault="00AB6E12"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w:t>
      </w:r>
    </w:p>
    <w:p w:rsidR="00700AD4" w:rsidRDefault="00700AD4" w:rsidP="00E66705">
      <w:pPr>
        <w:pStyle w:val="Listenabsatz"/>
        <w:tabs>
          <w:tab w:val="left" w:pos="426"/>
        </w:tabs>
        <w:ind w:left="1440"/>
        <w:jc w:val="both"/>
        <w:rPr>
          <w:rFonts w:asciiTheme="majorHAnsi" w:hAnsiTheme="majorHAnsi"/>
          <w:sz w:val="22"/>
          <w:szCs w:val="22"/>
        </w:rPr>
      </w:pPr>
    </w:p>
    <w:p w:rsidR="00FF2BC2" w:rsidRPr="00534704" w:rsidRDefault="00700AD4" w:rsidP="00E66705">
      <w:pPr>
        <w:pStyle w:val="Listenabsatz"/>
        <w:numPr>
          <w:ilvl w:val="0"/>
          <w:numId w:val="15"/>
        </w:numPr>
        <w:tabs>
          <w:tab w:val="left" w:pos="426"/>
        </w:tabs>
        <w:jc w:val="both"/>
        <w:rPr>
          <w:rFonts w:asciiTheme="majorHAnsi" w:hAnsiTheme="majorHAnsi"/>
          <w:sz w:val="22"/>
          <w:szCs w:val="22"/>
        </w:rPr>
      </w:pPr>
      <w:r>
        <w:rPr>
          <w:rFonts w:asciiTheme="majorHAnsi" w:hAnsiTheme="majorHAnsi"/>
          <w:sz w:val="22"/>
          <w:szCs w:val="22"/>
        </w:rPr>
        <w:t>Im Zweifel: Pädagogische Beurteilung im Sinne des Kindes</w:t>
      </w:r>
    </w:p>
    <w:p w:rsidR="00534704" w:rsidRDefault="00534704" w:rsidP="00E66705">
      <w:pPr>
        <w:tabs>
          <w:tab w:val="left" w:pos="709"/>
          <w:tab w:val="left" w:pos="1701"/>
          <w:tab w:val="left" w:pos="2552"/>
        </w:tabs>
        <w:ind w:left="720"/>
        <w:jc w:val="both"/>
        <w:rPr>
          <w:rFonts w:eastAsia="Times New Roman" w:cs="Calibri"/>
          <w:lang w:eastAsia="de-DE"/>
        </w:rPr>
      </w:pPr>
    </w:p>
    <w:p w:rsidR="0067727D" w:rsidRDefault="0067727D" w:rsidP="00E66705">
      <w:pPr>
        <w:tabs>
          <w:tab w:val="left" w:pos="709"/>
          <w:tab w:val="left" w:pos="1701"/>
          <w:tab w:val="left" w:pos="2552"/>
        </w:tabs>
        <w:ind w:left="720"/>
        <w:jc w:val="both"/>
        <w:rPr>
          <w:rFonts w:eastAsia="Times New Roman" w:cs="Calibri"/>
          <w:lang w:eastAsia="de-DE"/>
        </w:rPr>
      </w:pPr>
    </w:p>
    <w:p w:rsidR="00E66705" w:rsidRDefault="00E66705" w:rsidP="00E66705">
      <w:pPr>
        <w:tabs>
          <w:tab w:val="left" w:pos="426"/>
        </w:tabs>
        <w:ind w:left="360"/>
        <w:jc w:val="both"/>
        <w:rPr>
          <w:rFonts w:asciiTheme="majorHAnsi" w:hAnsiTheme="majorHAnsi"/>
          <w:b/>
          <w:sz w:val="22"/>
          <w:szCs w:val="22"/>
        </w:rPr>
      </w:pPr>
      <w:r w:rsidRPr="00E66705">
        <w:rPr>
          <w:rFonts w:asciiTheme="majorHAnsi" w:hAnsiTheme="majorHAnsi"/>
          <w:b/>
          <w:sz w:val="22"/>
          <w:szCs w:val="22"/>
        </w:rPr>
        <w:t>BITTE BEACHTEN:</w:t>
      </w:r>
    </w:p>
    <w:p w:rsidR="00E66705" w:rsidRPr="00E66705" w:rsidRDefault="00E66705" w:rsidP="00E66705">
      <w:pPr>
        <w:tabs>
          <w:tab w:val="left" w:pos="426"/>
        </w:tabs>
        <w:ind w:left="360"/>
        <w:jc w:val="both"/>
        <w:rPr>
          <w:rFonts w:asciiTheme="majorHAnsi" w:hAnsiTheme="majorHAnsi"/>
          <w:b/>
          <w:sz w:val="22"/>
          <w:szCs w:val="22"/>
        </w:rPr>
      </w:pPr>
    </w:p>
    <w:p w:rsidR="0067727D" w:rsidRDefault="007F7C6A" w:rsidP="00E66705">
      <w:pPr>
        <w:pStyle w:val="Listenabsatz"/>
        <w:numPr>
          <w:ilvl w:val="0"/>
          <w:numId w:val="15"/>
        </w:numPr>
        <w:tabs>
          <w:tab w:val="left" w:pos="426"/>
        </w:tabs>
        <w:jc w:val="both"/>
        <w:rPr>
          <w:rFonts w:asciiTheme="majorHAnsi" w:hAnsiTheme="majorHAnsi"/>
          <w:sz w:val="22"/>
          <w:szCs w:val="22"/>
        </w:rPr>
      </w:pPr>
      <w:r w:rsidRPr="007F7C6A">
        <w:rPr>
          <w:rFonts w:asciiTheme="majorHAnsi" w:hAnsiTheme="majorHAnsi"/>
          <w:b/>
          <w:noProof/>
          <w:u w:val="single"/>
          <w:lang w:eastAsia="de-DE"/>
        </w:rPr>
        <mc:AlternateContent>
          <mc:Choice Requires="wps">
            <w:drawing>
              <wp:anchor distT="0" distB="0" distL="114300" distR="114300" simplePos="0" relativeHeight="251659776" behindDoc="0" locked="0" layoutInCell="1" allowOverlap="1" wp14:anchorId="3CBFF915" wp14:editId="2BC37645">
                <wp:simplePos x="0" y="0"/>
                <wp:positionH relativeFrom="column">
                  <wp:posOffset>3776345</wp:posOffset>
                </wp:positionH>
                <wp:positionV relativeFrom="paragraph">
                  <wp:posOffset>20955</wp:posOffset>
                </wp:positionV>
                <wp:extent cx="2085975" cy="2381250"/>
                <wp:effectExtent l="0" t="0" r="28575" b="19050"/>
                <wp:wrapThrough wrapText="bothSides">
                  <wp:wrapPolygon edited="0">
                    <wp:start x="0" y="0"/>
                    <wp:lineTo x="0" y="21600"/>
                    <wp:lineTo x="21699" y="21600"/>
                    <wp:lineTo x="21699" y="0"/>
                    <wp:lineTo x="0" y="0"/>
                  </wp:wrapPolygon>
                </wp:wrapThrough>
                <wp:docPr id="2" name="Textfeld 2"/>
                <wp:cNvGraphicFramePr/>
                <a:graphic xmlns:a="http://schemas.openxmlformats.org/drawingml/2006/main">
                  <a:graphicData uri="http://schemas.microsoft.com/office/word/2010/wordprocessingShape">
                    <wps:wsp>
                      <wps:cNvSpPr txBox="1"/>
                      <wps:spPr>
                        <a:xfrm>
                          <a:off x="0" y="0"/>
                          <a:ext cx="2085975" cy="2381250"/>
                        </a:xfrm>
                        <a:prstGeom prst="rect">
                          <a:avLst/>
                        </a:prstGeom>
                        <a:solidFill>
                          <a:schemeClr val="accent1">
                            <a:lumMod val="75000"/>
                          </a:schemeClr>
                        </a:solidFill>
                        <a:ln w="25400" cap="flat" cmpd="sng" algn="ctr">
                          <a:solidFill>
                            <a:srgbClr val="4BACC6">
                              <a:shade val="50000"/>
                            </a:srgbClr>
                          </a:solidFill>
                          <a:prstDash val="solid"/>
                        </a:ln>
                        <a:effectLst/>
                      </wps:spPr>
                      <wps:txbx>
                        <w:txbxContent>
                          <w:p w:rsidR="00CC3DF6" w:rsidRPr="00CE5299" w:rsidRDefault="00CC3DF6" w:rsidP="00CE5299">
                            <w:pPr>
                              <w:tabs>
                                <w:tab w:val="left" w:pos="709"/>
                                <w:tab w:val="left" w:pos="1701"/>
                                <w:tab w:val="left" w:pos="2552"/>
                              </w:tabs>
                              <w:jc w:val="both"/>
                              <w:rPr>
                                <w:rFonts w:asciiTheme="majorHAnsi" w:hAnsiTheme="majorHAnsi" w:cstheme="majorHAnsi"/>
                                <w:i/>
                                <w:color w:val="FFFFFF" w:themeColor="background1"/>
                                <w:sz w:val="18"/>
                                <w:szCs w:val="18"/>
                              </w:rPr>
                            </w:pPr>
                            <w:r w:rsidRPr="00CE5299">
                              <w:rPr>
                                <w:rFonts w:asciiTheme="majorHAnsi" w:hAnsiTheme="majorHAnsi" w:cstheme="majorHAnsi"/>
                                <w:i/>
                                <w:color w:val="FFFFFF" w:themeColor="background1"/>
                                <w:sz w:val="18"/>
                                <w:szCs w:val="18"/>
                              </w:rPr>
                              <w:t>§ 23(2) VOSB</w:t>
                            </w:r>
                          </w:p>
                          <w:p w:rsidR="00CC3DF6" w:rsidRPr="00CE5299" w:rsidRDefault="00CC3DF6" w:rsidP="00CE5299">
                            <w:pPr>
                              <w:tabs>
                                <w:tab w:val="left" w:pos="709"/>
                                <w:tab w:val="left" w:pos="1701"/>
                                <w:tab w:val="left" w:pos="2552"/>
                              </w:tabs>
                              <w:jc w:val="both"/>
                              <w:rPr>
                                <w:rFonts w:asciiTheme="majorHAnsi" w:hAnsiTheme="majorHAnsi" w:cstheme="majorHAnsi"/>
                                <w:i/>
                                <w:color w:val="FFFFFF" w:themeColor="background1"/>
                                <w:sz w:val="18"/>
                                <w:szCs w:val="18"/>
                              </w:rPr>
                            </w:pPr>
                          </w:p>
                          <w:p w:rsidR="00CC3DF6" w:rsidRPr="00CE5299" w:rsidRDefault="00CC3DF6" w:rsidP="00CE5299">
                            <w:pPr>
                              <w:tabs>
                                <w:tab w:val="left" w:pos="709"/>
                                <w:tab w:val="left" w:pos="1701"/>
                                <w:tab w:val="left" w:pos="2552"/>
                              </w:tabs>
                              <w:jc w:val="both"/>
                              <w:rPr>
                                <w:rFonts w:asciiTheme="majorHAnsi" w:eastAsia="Times New Roman" w:hAnsiTheme="majorHAnsi" w:cstheme="majorHAnsi"/>
                                <w:i/>
                                <w:color w:val="FFFFFF" w:themeColor="background1"/>
                                <w:sz w:val="18"/>
                                <w:szCs w:val="18"/>
                                <w:lang w:eastAsia="de-DE"/>
                              </w:rPr>
                            </w:pPr>
                            <w:r w:rsidRPr="00CE5299">
                              <w:rPr>
                                <w:rFonts w:asciiTheme="majorHAnsi" w:hAnsiTheme="majorHAnsi" w:cstheme="majorHAnsi"/>
                                <w:i/>
                                <w:color w:val="FFFFFF" w:themeColor="background1"/>
                                <w:sz w:val="18"/>
                                <w:szCs w:val="18"/>
                              </w:rPr>
                              <w:t>Schülerinnen und Schüler mit Anspruch auf sonderpädagogische Förderung im Förderschwerpunkt Lernen erhalten in der Grundstufe an Stelle einer Leistungsbewertung durch Noten eine schriftliche Aussage über das Arbeits- und Sozialverhalten, die Lernentwicklung und den Lernerfolg, erreichte Fertigkeiten und Kenntnisse sowie Entwicklungsmöglichkeiten in den einzelnen Fächern. Die Leistungsbewertungen orientieren sich an den Zielen des individuellen Förderplans.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F915" id="Textfeld 2" o:spid="_x0000_s1027" type="#_x0000_t202" style="position:absolute;left:0;text-align:left;margin-left:297.35pt;margin-top:1.65pt;width:164.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" fillcolor="#365f91 [2404]" strokecolor="#357d91" strokeweight="2pt">
                <v:textbox>
                  <w:txbxContent>
                    <w:p w:rsidR="00CC3DF6" w:rsidRPr="00CE5299" w:rsidRDefault="00CC3DF6" w:rsidP="00CE5299">
                      <w:pPr>
                        <w:tabs>
                          <w:tab w:val="left" w:pos="709"/>
                          <w:tab w:val="left" w:pos="1701"/>
                          <w:tab w:val="left" w:pos="2552"/>
                        </w:tabs>
                        <w:jc w:val="both"/>
                        <w:rPr>
                          <w:rFonts w:asciiTheme="majorHAnsi" w:hAnsiTheme="majorHAnsi" w:cstheme="majorHAnsi"/>
                          <w:i/>
                          <w:color w:val="FFFFFF" w:themeColor="background1"/>
                          <w:sz w:val="18"/>
                          <w:szCs w:val="18"/>
                        </w:rPr>
                      </w:pPr>
                      <w:r w:rsidRPr="00CE5299">
                        <w:rPr>
                          <w:rFonts w:asciiTheme="majorHAnsi" w:hAnsiTheme="majorHAnsi" w:cstheme="majorHAnsi"/>
                          <w:i/>
                          <w:color w:val="FFFFFF" w:themeColor="background1"/>
                          <w:sz w:val="18"/>
                          <w:szCs w:val="18"/>
                        </w:rPr>
                        <w:t>§ 23(2) VOSB</w:t>
                      </w:r>
                    </w:p>
                    <w:p w:rsidR="00CC3DF6" w:rsidRPr="00CE5299" w:rsidRDefault="00CC3DF6" w:rsidP="00CE5299">
                      <w:pPr>
                        <w:tabs>
                          <w:tab w:val="left" w:pos="709"/>
                          <w:tab w:val="left" w:pos="1701"/>
                          <w:tab w:val="left" w:pos="2552"/>
                        </w:tabs>
                        <w:jc w:val="both"/>
                        <w:rPr>
                          <w:rFonts w:asciiTheme="majorHAnsi" w:hAnsiTheme="majorHAnsi" w:cstheme="majorHAnsi"/>
                          <w:i/>
                          <w:color w:val="FFFFFF" w:themeColor="background1"/>
                          <w:sz w:val="18"/>
                          <w:szCs w:val="18"/>
                        </w:rPr>
                      </w:pPr>
                    </w:p>
                    <w:p w:rsidR="00CC3DF6" w:rsidRPr="00CE5299" w:rsidRDefault="00CC3DF6" w:rsidP="00CE5299">
                      <w:pPr>
                        <w:tabs>
                          <w:tab w:val="left" w:pos="709"/>
                          <w:tab w:val="left" w:pos="1701"/>
                          <w:tab w:val="left" w:pos="2552"/>
                        </w:tabs>
                        <w:jc w:val="both"/>
                        <w:rPr>
                          <w:rFonts w:asciiTheme="majorHAnsi" w:eastAsia="Times New Roman" w:hAnsiTheme="majorHAnsi" w:cstheme="majorHAnsi"/>
                          <w:i/>
                          <w:color w:val="FFFFFF" w:themeColor="background1"/>
                          <w:sz w:val="18"/>
                          <w:szCs w:val="18"/>
                          <w:lang w:eastAsia="de-DE"/>
                        </w:rPr>
                      </w:pPr>
                      <w:r w:rsidRPr="00CE5299">
                        <w:rPr>
                          <w:rFonts w:asciiTheme="majorHAnsi" w:hAnsiTheme="majorHAnsi" w:cstheme="majorHAnsi"/>
                          <w:i/>
                          <w:color w:val="FFFFFF" w:themeColor="background1"/>
                          <w:sz w:val="18"/>
                          <w:szCs w:val="18"/>
                        </w:rPr>
                        <w:t>Schülerinnen und Schüler mit Anspruch auf sonderpädagogische Förderung im Förderschwerpunkt Lernen erhalten in der Grundstufe an Stelle einer Leistungsbewertung durch Noten eine schriftliche Aussage über das Arbeits- und Sozialverhalten, die Lernentwicklung und den Lernerfolg, erreichte Fertigkeiten und Kenntnisse sowie Entwicklungsmöglichkeiten in den einzelnen Fächern. Die Leistungsbewertungen orientieren sich an den Zielen des individuellen Förderplans. (…)</w:t>
                      </w:r>
                    </w:p>
                  </w:txbxContent>
                </v:textbox>
                <w10:wrap type="through"/>
              </v:shape>
            </w:pict>
          </mc:Fallback>
        </mc:AlternateContent>
      </w:r>
      <w:r w:rsidR="0067727D" w:rsidRPr="0067727D">
        <w:rPr>
          <w:rFonts w:asciiTheme="majorHAnsi" w:hAnsiTheme="majorHAnsi"/>
          <w:sz w:val="22"/>
          <w:szCs w:val="22"/>
        </w:rPr>
        <w:t xml:space="preserve">In der </w:t>
      </w:r>
      <w:r w:rsidR="0067727D" w:rsidRPr="00CE5299">
        <w:rPr>
          <w:rFonts w:asciiTheme="majorHAnsi" w:hAnsiTheme="majorHAnsi"/>
          <w:sz w:val="22"/>
          <w:szCs w:val="22"/>
          <w:u w:val="single"/>
        </w:rPr>
        <w:t>Grundschule</w:t>
      </w:r>
      <w:r w:rsidR="0067727D" w:rsidRPr="0067727D">
        <w:rPr>
          <w:rFonts w:asciiTheme="majorHAnsi" w:hAnsiTheme="majorHAnsi"/>
          <w:sz w:val="22"/>
          <w:szCs w:val="22"/>
        </w:rPr>
        <w:t xml:space="preserve"> </w:t>
      </w:r>
      <w:r w:rsidR="0067727D">
        <w:rPr>
          <w:rFonts w:asciiTheme="majorHAnsi" w:hAnsiTheme="majorHAnsi"/>
          <w:sz w:val="22"/>
          <w:szCs w:val="22"/>
        </w:rPr>
        <w:t xml:space="preserve">erhalten die im Förderschwerpunkt „Lernen“ inklusiv beschulten </w:t>
      </w:r>
      <w:r w:rsidR="00CE5299">
        <w:rPr>
          <w:rFonts w:asciiTheme="majorHAnsi" w:hAnsiTheme="majorHAnsi"/>
          <w:sz w:val="22"/>
          <w:szCs w:val="22"/>
        </w:rPr>
        <w:t>Schülerinnen und Schüler gemäß der VOSB keine Ziffernnoten (weder im Zeugnis noch bei Klassenarbeiten/ Lernzielkontrollen o.ä.)!</w:t>
      </w:r>
      <w:r w:rsidR="00905084">
        <w:rPr>
          <w:rFonts w:asciiTheme="majorHAnsi" w:hAnsiTheme="majorHAnsi"/>
          <w:sz w:val="22"/>
          <w:szCs w:val="22"/>
        </w:rPr>
        <w:t xml:space="preserve"> Die Rückmeldung zu erbrachten Leistung erfolgt z.B. durch</w:t>
      </w:r>
    </w:p>
    <w:p w:rsidR="00905084" w:rsidRPr="00E66705" w:rsidRDefault="00905084"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Kompetenzbeschreibungen</w:t>
      </w:r>
    </w:p>
    <w:p w:rsidR="00905084" w:rsidRPr="00E66705" w:rsidRDefault="00905084"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Angabe der erzielten Punktzahl</w:t>
      </w:r>
    </w:p>
    <w:p w:rsidR="00905084" w:rsidRPr="00E66705" w:rsidRDefault="00905084"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w:t>
      </w:r>
    </w:p>
    <w:p w:rsidR="00905084" w:rsidRDefault="00905084" w:rsidP="00E66705">
      <w:pPr>
        <w:tabs>
          <w:tab w:val="left" w:pos="426"/>
        </w:tabs>
        <w:ind w:left="708"/>
        <w:jc w:val="both"/>
        <w:rPr>
          <w:rFonts w:asciiTheme="majorHAnsi" w:hAnsiTheme="majorHAnsi"/>
          <w:sz w:val="22"/>
          <w:szCs w:val="22"/>
        </w:rPr>
      </w:pPr>
      <w:r>
        <w:rPr>
          <w:rFonts w:asciiTheme="majorHAnsi" w:hAnsiTheme="majorHAnsi"/>
          <w:sz w:val="22"/>
          <w:szCs w:val="22"/>
        </w:rPr>
        <w:t xml:space="preserve">Schriftliche Leistungsnachweise sind zu </w:t>
      </w:r>
      <w:r w:rsidR="00C90102">
        <w:rPr>
          <w:rFonts w:asciiTheme="majorHAnsi" w:hAnsiTheme="majorHAnsi"/>
          <w:sz w:val="22"/>
          <w:szCs w:val="22"/>
        </w:rPr>
        <w:t>kennzeichnen mit</w:t>
      </w:r>
      <w:r>
        <w:rPr>
          <w:rFonts w:asciiTheme="majorHAnsi" w:hAnsiTheme="majorHAnsi"/>
          <w:sz w:val="22"/>
          <w:szCs w:val="22"/>
        </w:rPr>
        <w:t xml:space="preserve"> einem Verweis auf den entsprechenden Bezugsrahmen</w:t>
      </w:r>
      <w:r w:rsidR="00E66705">
        <w:rPr>
          <w:rFonts w:asciiTheme="majorHAnsi" w:hAnsiTheme="majorHAnsi"/>
          <w:sz w:val="22"/>
          <w:szCs w:val="22"/>
        </w:rPr>
        <w:t xml:space="preserve"> z.B.</w:t>
      </w:r>
      <w:r>
        <w:rPr>
          <w:rFonts w:asciiTheme="majorHAnsi" w:hAnsiTheme="majorHAnsi"/>
          <w:sz w:val="22"/>
          <w:szCs w:val="22"/>
        </w:rPr>
        <w:t xml:space="preserve"> mit der Formulierung:</w:t>
      </w:r>
    </w:p>
    <w:p w:rsidR="00905084" w:rsidRPr="00905084" w:rsidRDefault="00905084" w:rsidP="00E66705">
      <w:pPr>
        <w:tabs>
          <w:tab w:val="left" w:pos="426"/>
        </w:tabs>
        <w:ind w:left="708"/>
        <w:jc w:val="both"/>
        <w:rPr>
          <w:rFonts w:asciiTheme="majorHAnsi" w:hAnsiTheme="majorHAnsi"/>
          <w:b/>
          <w:sz w:val="22"/>
          <w:szCs w:val="22"/>
        </w:rPr>
      </w:pPr>
      <w:r>
        <w:rPr>
          <w:rFonts w:asciiTheme="majorHAnsi" w:hAnsiTheme="majorHAnsi"/>
          <w:b/>
          <w:sz w:val="22"/>
          <w:szCs w:val="22"/>
        </w:rPr>
        <w:t xml:space="preserve">Die Leistungsbewertung erfolgt nach den Richtlinien des Bildungsgangs Förderschwerpunkt Lernen. Es </w:t>
      </w:r>
      <w:r w:rsidR="00C90102">
        <w:rPr>
          <w:rFonts w:asciiTheme="majorHAnsi" w:hAnsiTheme="majorHAnsi"/>
          <w:b/>
          <w:sz w:val="22"/>
          <w:szCs w:val="22"/>
        </w:rPr>
        <w:t>erfolgt daher keine Notengebung.</w:t>
      </w:r>
    </w:p>
    <w:p w:rsidR="00905084" w:rsidRPr="00905084" w:rsidRDefault="00905084" w:rsidP="00E66705">
      <w:pPr>
        <w:tabs>
          <w:tab w:val="left" w:pos="426"/>
        </w:tabs>
        <w:jc w:val="both"/>
        <w:rPr>
          <w:rFonts w:asciiTheme="majorHAnsi" w:hAnsiTheme="majorHAnsi"/>
          <w:sz w:val="22"/>
          <w:szCs w:val="22"/>
        </w:rPr>
      </w:pPr>
    </w:p>
    <w:p w:rsidR="00CE5299" w:rsidRDefault="00CE5299" w:rsidP="00E66705">
      <w:pPr>
        <w:pStyle w:val="Listenabsatz"/>
        <w:numPr>
          <w:ilvl w:val="0"/>
          <w:numId w:val="15"/>
        </w:numPr>
        <w:tabs>
          <w:tab w:val="left" w:pos="426"/>
        </w:tabs>
        <w:jc w:val="both"/>
        <w:rPr>
          <w:rFonts w:asciiTheme="majorHAnsi" w:hAnsiTheme="majorHAnsi"/>
          <w:sz w:val="22"/>
          <w:szCs w:val="22"/>
        </w:rPr>
      </w:pPr>
      <w:r>
        <w:rPr>
          <w:rFonts w:asciiTheme="majorHAnsi" w:hAnsiTheme="majorHAnsi"/>
          <w:sz w:val="22"/>
          <w:szCs w:val="22"/>
        </w:rPr>
        <w:t xml:space="preserve">In der </w:t>
      </w:r>
      <w:r w:rsidRPr="007F7C6A">
        <w:rPr>
          <w:rFonts w:asciiTheme="majorHAnsi" w:hAnsiTheme="majorHAnsi"/>
          <w:sz w:val="22"/>
          <w:szCs w:val="22"/>
          <w:u w:val="single"/>
        </w:rPr>
        <w:t>Sekundarstufe 1</w:t>
      </w:r>
      <w:r>
        <w:rPr>
          <w:rFonts w:asciiTheme="majorHAnsi" w:hAnsiTheme="majorHAnsi"/>
          <w:sz w:val="22"/>
          <w:szCs w:val="22"/>
        </w:rPr>
        <w:t xml:space="preserve"> erhalten die im Förderschwerpunkt „Lernen“ inklusiv beschulten Schülerinnen und Schüler gemäß der VOSB Ziffernnoten bei Klassenarbeiten/ Lernzielkontrollen o.ä. bezogen auf die Richtlinien </w:t>
      </w:r>
      <w:r w:rsidR="007F7C6A">
        <w:rPr>
          <w:rFonts w:asciiTheme="majorHAnsi" w:hAnsiTheme="majorHAnsi"/>
          <w:sz w:val="22"/>
          <w:szCs w:val="22"/>
        </w:rPr>
        <w:t>des Bildungsgangs</w:t>
      </w:r>
      <w:r>
        <w:rPr>
          <w:rFonts w:asciiTheme="majorHAnsi" w:hAnsiTheme="majorHAnsi"/>
          <w:sz w:val="22"/>
          <w:szCs w:val="22"/>
        </w:rPr>
        <w:t xml:space="preserve"> Fö</w:t>
      </w:r>
      <w:r w:rsidR="00C90102">
        <w:rPr>
          <w:rFonts w:asciiTheme="majorHAnsi" w:hAnsiTheme="majorHAnsi"/>
          <w:sz w:val="22"/>
          <w:szCs w:val="22"/>
        </w:rPr>
        <w:t>r</w:t>
      </w:r>
      <w:r>
        <w:rPr>
          <w:rFonts w:asciiTheme="majorHAnsi" w:hAnsiTheme="majorHAnsi"/>
          <w:sz w:val="22"/>
          <w:szCs w:val="22"/>
        </w:rPr>
        <w:t>derschwerpunkt Lernen (siehe oben)</w:t>
      </w:r>
    </w:p>
    <w:p w:rsidR="00C90102" w:rsidRDefault="00C90102" w:rsidP="00E66705">
      <w:pPr>
        <w:tabs>
          <w:tab w:val="left" w:pos="426"/>
        </w:tabs>
        <w:ind w:left="708"/>
        <w:jc w:val="both"/>
        <w:rPr>
          <w:rFonts w:asciiTheme="majorHAnsi" w:hAnsiTheme="majorHAnsi"/>
          <w:sz w:val="22"/>
          <w:szCs w:val="22"/>
        </w:rPr>
      </w:pPr>
      <w:r>
        <w:rPr>
          <w:rFonts w:asciiTheme="majorHAnsi" w:hAnsiTheme="majorHAnsi"/>
          <w:sz w:val="22"/>
          <w:szCs w:val="22"/>
        </w:rPr>
        <w:t xml:space="preserve">Schriftliche Leistungsnachweise sind zu kennzeichnen mit einem Verweis auf den entsprechenden Bezugsrahmen </w:t>
      </w:r>
      <w:r w:rsidR="00E66705">
        <w:rPr>
          <w:rFonts w:asciiTheme="majorHAnsi" w:hAnsiTheme="majorHAnsi"/>
          <w:sz w:val="22"/>
          <w:szCs w:val="22"/>
        </w:rPr>
        <w:t xml:space="preserve">z.B. </w:t>
      </w:r>
      <w:r>
        <w:rPr>
          <w:rFonts w:asciiTheme="majorHAnsi" w:hAnsiTheme="majorHAnsi"/>
          <w:sz w:val="22"/>
          <w:szCs w:val="22"/>
        </w:rPr>
        <w:t>mit der Formulierung:</w:t>
      </w:r>
    </w:p>
    <w:p w:rsidR="00C90102" w:rsidRPr="00905084" w:rsidRDefault="00C90102" w:rsidP="00E66705">
      <w:pPr>
        <w:tabs>
          <w:tab w:val="left" w:pos="426"/>
        </w:tabs>
        <w:ind w:left="708"/>
        <w:jc w:val="both"/>
        <w:rPr>
          <w:rFonts w:asciiTheme="majorHAnsi" w:hAnsiTheme="majorHAnsi"/>
          <w:b/>
          <w:sz w:val="22"/>
          <w:szCs w:val="22"/>
        </w:rPr>
      </w:pPr>
      <w:r>
        <w:rPr>
          <w:rFonts w:asciiTheme="majorHAnsi" w:hAnsiTheme="majorHAnsi"/>
          <w:b/>
          <w:sz w:val="22"/>
          <w:szCs w:val="22"/>
        </w:rPr>
        <w:t xml:space="preserve">Die Leistungsbewertung erfolgt nach den Richtlinien des Bildungsgangs Förderschwerpunkt Lernen. </w:t>
      </w:r>
    </w:p>
    <w:p w:rsidR="00CE5299" w:rsidRDefault="00CE5299" w:rsidP="00E66705">
      <w:pPr>
        <w:pStyle w:val="Listenabsatz"/>
        <w:tabs>
          <w:tab w:val="left" w:pos="426"/>
        </w:tabs>
        <w:jc w:val="both"/>
        <w:rPr>
          <w:rFonts w:asciiTheme="majorHAnsi" w:hAnsiTheme="majorHAnsi"/>
          <w:sz w:val="22"/>
          <w:szCs w:val="22"/>
        </w:rPr>
      </w:pPr>
    </w:p>
    <w:p w:rsidR="007F7C6A" w:rsidRDefault="007F7C6A" w:rsidP="00E66705">
      <w:pPr>
        <w:pStyle w:val="Listenabsatz"/>
        <w:tabs>
          <w:tab w:val="left" w:pos="426"/>
        </w:tabs>
        <w:jc w:val="both"/>
        <w:rPr>
          <w:rFonts w:asciiTheme="majorHAnsi" w:hAnsiTheme="majorHAnsi"/>
          <w:sz w:val="22"/>
          <w:szCs w:val="22"/>
        </w:rPr>
      </w:pPr>
    </w:p>
    <w:p w:rsidR="0067727D" w:rsidRDefault="0067727D" w:rsidP="00E66705">
      <w:pPr>
        <w:tabs>
          <w:tab w:val="left" w:pos="709"/>
          <w:tab w:val="left" w:pos="1701"/>
          <w:tab w:val="left" w:pos="2552"/>
        </w:tabs>
        <w:ind w:left="720"/>
        <w:jc w:val="both"/>
        <w:rPr>
          <w:rFonts w:eastAsia="Times New Roman" w:cs="Calibri"/>
          <w:lang w:eastAsia="de-DE"/>
        </w:rPr>
      </w:pPr>
    </w:p>
    <w:p w:rsidR="00FF2BC2" w:rsidRPr="00905084" w:rsidRDefault="00D32089" w:rsidP="00E66705">
      <w:pPr>
        <w:pStyle w:val="Listenabsatz"/>
        <w:numPr>
          <w:ilvl w:val="0"/>
          <w:numId w:val="21"/>
        </w:numPr>
        <w:tabs>
          <w:tab w:val="left" w:pos="426"/>
        </w:tabs>
        <w:ind w:left="284" w:hanging="142"/>
        <w:jc w:val="both"/>
        <w:rPr>
          <w:rFonts w:asciiTheme="majorHAnsi" w:hAnsiTheme="majorHAnsi"/>
          <w:b/>
          <w:u w:val="single"/>
        </w:rPr>
      </w:pPr>
      <w:r w:rsidRPr="00905084">
        <w:rPr>
          <w:rFonts w:asciiTheme="majorHAnsi" w:hAnsiTheme="majorHAnsi"/>
          <w:b/>
          <w:u w:val="single"/>
        </w:rPr>
        <w:t>Zeugnisse &amp;</w:t>
      </w:r>
      <w:r w:rsidR="00FF2BC2" w:rsidRPr="00905084">
        <w:rPr>
          <w:rFonts w:asciiTheme="majorHAnsi" w:hAnsiTheme="majorHAnsi"/>
          <w:b/>
          <w:u w:val="single"/>
        </w:rPr>
        <w:t xml:space="preserve"> Abschlüsse</w:t>
      </w:r>
      <w:r w:rsidRPr="00905084">
        <w:rPr>
          <w:rFonts w:asciiTheme="majorHAnsi" w:hAnsiTheme="majorHAnsi"/>
          <w:b/>
          <w:u w:val="single"/>
        </w:rPr>
        <w:t xml:space="preserve"> </w:t>
      </w:r>
      <w:r w:rsidR="00466C6D" w:rsidRPr="00905084">
        <w:rPr>
          <w:rFonts w:asciiTheme="majorHAnsi" w:hAnsiTheme="majorHAnsi"/>
          <w:b/>
          <w:u w:val="single"/>
        </w:rPr>
        <w:t xml:space="preserve">/ Besonderheiten </w:t>
      </w:r>
    </w:p>
    <w:p w:rsidR="00FF2BC2" w:rsidRDefault="00FF2BC2" w:rsidP="00E66705">
      <w:pPr>
        <w:tabs>
          <w:tab w:val="left" w:pos="426"/>
        </w:tabs>
        <w:jc w:val="both"/>
        <w:rPr>
          <w:rFonts w:asciiTheme="majorHAnsi" w:hAnsiTheme="majorHAnsi"/>
          <w:b/>
          <w:sz w:val="22"/>
          <w:szCs w:val="22"/>
          <w:u w:val="single"/>
        </w:rPr>
      </w:pPr>
    </w:p>
    <w:p w:rsidR="00E33235" w:rsidRDefault="00FF2BC2" w:rsidP="00E66705">
      <w:pPr>
        <w:pStyle w:val="Listenabsatz"/>
        <w:numPr>
          <w:ilvl w:val="0"/>
          <w:numId w:val="15"/>
        </w:numPr>
        <w:tabs>
          <w:tab w:val="left" w:pos="426"/>
        </w:tabs>
        <w:jc w:val="both"/>
        <w:rPr>
          <w:rFonts w:asciiTheme="majorHAnsi" w:hAnsiTheme="majorHAnsi"/>
          <w:sz w:val="22"/>
          <w:szCs w:val="22"/>
        </w:rPr>
      </w:pPr>
      <w:r w:rsidRPr="00EF77A3">
        <w:rPr>
          <w:rFonts w:asciiTheme="majorHAnsi" w:hAnsiTheme="majorHAnsi"/>
          <w:color w:val="000000" w:themeColor="text1"/>
          <w:sz w:val="22"/>
          <w:szCs w:val="22"/>
        </w:rPr>
        <w:t>Schülerinnen</w:t>
      </w:r>
      <w:r w:rsidRPr="00E33235">
        <w:rPr>
          <w:rFonts w:asciiTheme="majorHAnsi" w:hAnsiTheme="majorHAnsi"/>
          <w:sz w:val="22"/>
          <w:szCs w:val="22"/>
        </w:rPr>
        <w:t xml:space="preserve"> und Schüler mit Anspruch auf sonderpädagogische Förderung erhalten </w:t>
      </w:r>
      <w:r w:rsidR="00466C6D" w:rsidRPr="00E33235">
        <w:rPr>
          <w:rFonts w:asciiTheme="majorHAnsi" w:hAnsiTheme="majorHAnsi"/>
          <w:sz w:val="22"/>
          <w:szCs w:val="22"/>
        </w:rPr>
        <w:t xml:space="preserve">ein </w:t>
      </w:r>
      <w:r w:rsidR="004C0587">
        <w:rPr>
          <w:rFonts w:asciiTheme="majorHAnsi" w:hAnsiTheme="majorHAnsi"/>
          <w:sz w:val="22"/>
          <w:szCs w:val="22"/>
        </w:rPr>
        <w:t xml:space="preserve">besonderes </w:t>
      </w:r>
      <w:r w:rsidR="00466C6D" w:rsidRPr="00E33235">
        <w:rPr>
          <w:rFonts w:asciiTheme="majorHAnsi" w:hAnsiTheme="majorHAnsi"/>
          <w:sz w:val="22"/>
          <w:szCs w:val="22"/>
        </w:rPr>
        <w:t>Zeugnis</w:t>
      </w:r>
      <w:r w:rsidR="004C0587">
        <w:rPr>
          <w:rFonts w:asciiTheme="majorHAnsi" w:hAnsiTheme="majorHAnsi"/>
          <w:sz w:val="22"/>
          <w:szCs w:val="22"/>
        </w:rPr>
        <w:t>formular:</w:t>
      </w:r>
    </w:p>
    <w:p w:rsidR="004C0587" w:rsidRPr="00E66705" w:rsidRDefault="004C0587"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 xml:space="preserve">In der Grundschule bis einschließlich Klasse 4 werden die in den einzelnen Fächern erzielten Kompetenzen ausschließlich verbal beschrieben. </w:t>
      </w:r>
    </w:p>
    <w:p w:rsidR="004C0587" w:rsidRPr="00E66705" w:rsidRDefault="004C0587"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 xml:space="preserve">In </w:t>
      </w:r>
      <w:r w:rsidRPr="00EF77A3">
        <w:rPr>
          <w:rFonts w:asciiTheme="majorHAnsi" w:hAnsiTheme="majorHAnsi"/>
          <w:color w:val="000000" w:themeColor="text1"/>
          <w:sz w:val="22"/>
          <w:szCs w:val="22"/>
        </w:rPr>
        <w:t>der</w:t>
      </w:r>
      <w:r w:rsidRPr="00E66705">
        <w:rPr>
          <w:rFonts w:asciiTheme="majorHAnsi" w:hAnsiTheme="majorHAnsi"/>
          <w:color w:val="000000" w:themeColor="text1"/>
          <w:sz w:val="22"/>
          <w:szCs w:val="22"/>
        </w:rPr>
        <w:t xml:space="preserve"> Sekundarstufe 1 enthalten die Zeugnisse neben den Ziffernnoten eine verbale Beschreibung der erzielten Kompetenzen in den Bereichen Arbeitsverhalten, Sozialverhalten, Mathematik, Deutsch, Arbeitslehre und ab dem 7. Schulbesuchsjahr im fächerübergreifenden Bereich der Berufsorientierung (CHECKLISTE BERUFSORIENTIERTER ABSCHLUSS für inklusiv beschulte Schülerinnen und Schüler)</w:t>
      </w:r>
    </w:p>
    <w:p w:rsidR="00466C6D" w:rsidRPr="00E66705" w:rsidRDefault="00B402AE" w:rsidP="00E66705">
      <w:pPr>
        <w:pStyle w:val="Listenabsatz"/>
        <w:numPr>
          <w:ilvl w:val="1"/>
          <w:numId w:val="14"/>
        </w:numPr>
        <w:ind w:left="1134" w:hanging="425"/>
        <w:rPr>
          <w:rFonts w:asciiTheme="majorHAnsi" w:hAnsiTheme="majorHAnsi"/>
          <w:color w:val="000000" w:themeColor="text1"/>
          <w:sz w:val="22"/>
          <w:szCs w:val="22"/>
        </w:rPr>
      </w:pPr>
      <w:r w:rsidRPr="00E66705">
        <w:rPr>
          <w:rFonts w:asciiTheme="majorHAnsi" w:hAnsiTheme="majorHAnsi"/>
          <w:color w:val="000000" w:themeColor="text1"/>
          <w:sz w:val="22"/>
          <w:szCs w:val="22"/>
        </w:rPr>
        <w:t>Das Fach Englisch kann dabei ganz oder teilweise durch Angebote zur Förderung der Sprachkompetenz ersetzt werden (Note in diesem Fall ausgesetzt).</w:t>
      </w:r>
    </w:p>
    <w:p w:rsidR="00E33235" w:rsidRPr="00FA6AB2" w:rsidRDefault="00E33235" w:rsidP="00E66705">
      <w:pPr>
        <w:pStyle w:val="Listenabsatz"/>
        <w:tabs>
          <w:tab w:val="left" w:pos="426"/>
        </w:tabs>
        <w:ind w:left="1440"/>
        <w:jc w:val="both"/>
        <w:rPr>
          <w:rFonts w:asciiTheme="majorHAnsi" w:hAnsiTheme="majorHAnsi"/>
          <w:sz w:val="22"/>
          <w:szCs w:val="22"/>
        </w:rPr>
      </w:pPr>
    </w:p>
    <w:p w:rsidR="00466C6D" w:rsidRPr="00FF2BC2" w:rsidRDefault="00466C6D" w:rsidP="00E66705">
      <w:pPr>
        <w:pStyle w:val="Listenabsatz"/>
        <w:numPr>
          <w:ilvl w:val="0"/>
          <w:numId w:val="15"/>
        </w:numPr>
        <w:tabs>
          <w:tab w:val="left" w:pos="426"/>
        </w:tabs>
        <w:jc w:val="both"/>
        <w:rPr>
          <w:rFonts w:asciiTheme="majorHAnsi" w:hAnsiTheme="majorHAnsi"/>
          <w:sz w:val="22"/>
          <w:szCs w:val="22"/>
        </w:rPr>
      </w:pPr>
      <w:r>
        <w:rPr>
          <w:rFonts w:asciiTheme="majorHAnsi" w:hAnsiTheme="majorHAnsi"/>
          <w:sz w:val="22"/>
          <w:szCs w:val="22"/>
        </w:rPr>
        <w:t>Der Berufsorientierte Abschluss am Ende der Schulzeit entspricht den Zielsetzungen des Förderschwerpunkts Lernen und schließt den Bildungsgang ab. Er wird vergeben, wenn nach erfolgreichem Schulbesuch und teamorientierter Projektprüfung eine mindestens ausreichende Gesamtleistung in den Unterrichtsfächern sowie eine mindestens ausreichende Leistung in der Berufsorientierung erbracht wurde.</w:t>
      </w:r>
    </w:p>
    <w:p w:rsidR="00DF2A15" w:rsidRPr="00052DF5" w:rsidRDefault="00DF2A15" w:rsidP="008F39F7">
      <w:pPr>
        <w:tabs>
          <w:tab w:val="left" w:pos="426"/>
        </w:tabs>
        <w:jc w:val="both"/>
        <w:rPr>
          <w:rFonts w:asciiTheme="majorHAnsi" w:hAnsiTheme="majorHAnsi"/>
          <w:color w:val="FF0000"/>
          <w:sz w:val="22"/>
          <w:szCs w:val="22"/>
        </w:rPr>
      </w:pPr>
    </w:p>
    <w:sectPr w:rsidR="00DF2A15" w:rsidRPr="00052DF5" w:rsidSect="00E66705">
      <w:headerReference w:type="default" r:id="rId8"/>
      <w:headerReference w:type="first" r:id="rId9"/>
      <w:pgSz w:w="11906" w:h="16838"/>
      <w:pgMar w:top="1533" w:right="1134"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97" w:rsidRDefault="00947D97" w:rsidP="001C4337">
      <w:r>
        <w:separator/>
      </w:r>
    </w:p>
  </w:endnote>
  <w:endnote w:type="continuationSeparator" w:id="0">
    <w:p w:rsidR="00947D97" w:rsidRDefault="00947D97" w:rsidP="001C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97" w:rsidRDefault="00947D97" w:rsidP="001C4337">
      <w:r>
        <w:separator/>
      </w:r>
    </w:p>
  </w:footnote>
  <w:footnote w:type="continuationSeparator" w:id="0">
    <w:p w:rsidR="00947D97" w:rsidRDefault="00947D97" w:rsidP="001C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F6" w:rsidRDefault="00CC3DF6" w:rsidP="00335B37">
    <w:pPr>
      <w:pStyle w:val="Kopfzeile"/>
      <w:pBdr>
        <w:bottom w:val="single" w:sz="4" w:space="1" w:color="auto"/>
      </w:pBdr>
      <w:tabs>
        <w:tab w:val="clear" w:pos="9072"/>
        <w:tab w:val="right" w:pos="9214"/>
      </w:tabs>
      <w:jc w:val="right"/>
      <w:rPr>
        <w:rFonts w:asciiTheme="majorHAnsi" w:hAnsiTheme="majorHAnsi"/>
        <w:sz w:val="20"/>
        <w:szCs w:val="20"/>
      </w:rPr>
    </w:pPr>
    <w:r>
      <w:rPr>
        <w:rFonts w:asciiTheme="majorHAnsi" w:hAnsiTheme="majorHAnsi"/>
        <w:sz w:val="20"/>
        <w:szCs w:val="20"/>
      </w:rPr>
      <w:t xml:space="preserve">Informationen zur Inklusiven Beschulung- Förderschwerpunkt „Lernen“ </w:t>
    </w:r>
    <w:r>
      <w:rPr>
        <w:rFonts w:asciiTheme="majorHAnsi" w:hAnsiTheme="majorHAnsi"/>
        <w:sz w:val="20"/>
        <w:szCs w:val="20"/>
      </w:rPr>
      <w:tab/>
      <w:t xml:space="preserve">    </w:t>
    </w:r>
    <w:r w:rsidRPr="001C4337">
      <w:rPr>
        <w:rFonts w:asciiTheme="majorHAnsi" w:hAnsiTheme="majorHAnsi"/>
        <w:sz w:val="20"/>
        <w:szCs w:val="20"/>
      </w:rPr>
      <w:fldChar w:fldCharType="begin"/>
    </w:r>
    <w:r w:rsidRPr="001C4337">
      <w:rPr>
        <w:rFonts w:asciiTheme="majorHAnsi" w:hAnsiTheme="majorHAnsi"/>
        <w:sz w:val="20"/>
        <w:szCs w:val="20"/>
      </w:rPr>
      <w:instrText>PAGE   \* MERGEFORMAT</w:instrText>
    </w:r>
    <w:r w:rsidRPr="001C4337">
      <w:rPr>
        <w:rFonts w:asciiTheme="majorHAnsi" w:hAnsiTheme="majorHAnsi"/>
        <w:sz w:val="20"/>
        <w:szCs w:val="20"/>
      </w:rPr>
      <w:fldChar w:fldCharType="separate"/>
    </w:r>
    <w:r w:rsidR="0052200A">
      <w:rPr>
        <w:rFonts w:asciiTheme="majorHAnsi" w:hAnsiTheme="majorHAnsi"/>
        <w:noProof/>
        <w:sz w:val="20"/>
        <w:szCs w:val="20"/>
      </w:rPr>
      <w:t>3</w:t>
    </w:r>
    <w:r w:rsidRPr="001C4337">
      <w:rPr>
        <w:rFonts w:asciiTheme="majorHAnsi" w:hAnsiTheme="majorHAnsi"/>
        <w:sz w:val="20"/>
        <w:szCs w:val="20"/>
      </w:rPr>
      <w:fldChar w:fldCharType="end"/>
    </w:r>
  </w:p>
  <w:p w:rsidR="00CC3DF6" w:rsidRPr="001C4337" w:rsidRDefault="00CC3DF6" w:rsidP="001C4337">
    <w:pPr>
      <w:pStyle w:val="Kopfzeile"/>
      <w:jc w:val="center"/>
      <w:rPr>
        <w:rFonts w:asciiTheme="majorHAnsi" w:hAnsi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F" w:rsidRDefault="00F675EF" w:rsidP="00F675EF">
    <w:pPr>
      <w:pBdr>
        <w:bottom w:val="single" w:sz="4" w:space="1" w:color="auto"/>
      </w:pBdr>
      <w:spacing w:line="276" w:lineRule="auto"/>
      <w:contextualSpacing/>
      <w:rPr>
        <w:rFonts w:asciiTheme="majorHAnsi" w:hAnsiTheme="majorHAnsi"/>
        <w:b/>
        <w:sz w:val="40"/>
        <w:szCs w:val="40"/>
      </w:rPr>
    </w:pPr>
    <w:r>
      <w:rPr>
        <w:rFonts w:asciiTheme="majorHAnsi" w:hAnsiTheme="majorHAnsi"/>
        <w:b/>
        <w:sz w:val="40"/>
        <w:szCs w:val="40"/>
      </w:rPr>
      <w:t>Informationen zur</w:t>
    </w:r>
    <w:r w:rsidRPr="00B573B2">
      <w:rPr>
        <w:rFonts w:asciiTheme="majorHAnsi" w:hAnsiTheme="majorHAnsi"/>
        <w:b/>
        <w:sz w:val="40"/>
        <w:szCs w:val="40"/>
      </w:rPr>
      <w:t xml:space="preserve"> </w:t>
    </w:r>
    <w:r>
      <w:rPr>
        <w:rFonts w:asciiTheme="majorHAnsi" w:hAnsiTheme="majorHAnsi"/>
        <w:b/>
        <w:sz w:val="40"/>
        <w:szCs w:val="40"/>
      </w:rPr>
      <w:t xml:space="preserve">inklusiven Beschulung- </w:t>
    </w:r>
  </w:p>
  <w:p w:rsidR="00F675EF" w:rsidRDefault="00F675EF" w:rsidP="00F675EF">
    <w:pPr>
      <w:pBdr>
        <w:bottom w:val="single" w:sz="4" w:space="1" w:color="auto"/>
      </w:pBdr>
      <w:spacing w:line="276" w:lineRule="auto"/>
      <w:contextualSpacing/>
      <w:rPr>
        <w:rFonts w:asciiTheme="majorHAnsi" w:hAnsiTheme="majorHAnsi"/>
        <w:b/>
        <w:sz w:val="40"/>
        <w:szCs w:val="40"/>
      </w:rPr>
    </w:pPr>
    <w:r>
      <w:rPr>
        <w:rFonts w:asciiTheme="majorHAnsi" w:hAnsiTheme="majorHAnsi"/>
        <w:b/>
        <w:sz w:val="40"/>
        <w:szCs w:val="40"/>
      </w:rPr>
      <w:t>Förderschwerpunkt „Lernen“ – Stand: 0</w:t>
    </w:r>
    <w:r w:rsidR="00245895">
      <w:rPr>
        <w:rFonts w:asciiTheme="majorHAnsi" w:hAnsiTheme="majorHAnsi"/>
        <w:b/>
        <w:sz w:val="40"/>
        <w:szCs w:val="40"/>
      </w:rPr>
      <w:t>8</w:t>
    </w:r>
    <w:r>
      <w:rPr>
        <w:rFonts w:asciiTheme="majorHAnsi" w:hAnsiTheme="majorHAnsi"/>
        <w:b/>
        <w:sz w:val="40"/>
        <w:szCs w:val="40"/>
      </w:rPr>
      <w:t>/2017</w:t>
    </w:r>
  </w:p>
  <w:p w:rsidR="00F675EF" w:rsidRDefault="00F675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FEA"/>
    <w:multiLevelType w:val="hybridMultilevel"/>
    <w:tmpl w:val="75AA7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B02D2"/>
    <w:multiLevelType w:val="hybridMultilevel"/>
    <w:tmpl w:val="C66EFC86"/>
    <w:lvl w:ilvl="0" w:tplc="D262A678">
      <w:start w:val="4"/>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537BF"/>
    <w:multiLevelType w:val="hybridMultilevel"/>
    <w:tmpl w:val="BA4A4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445A2"/>
    <w:multiLevelType w:val="multilevel"/>
    <w:tmpl w:val="12801772"/>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20C73D78"/>
    <w:multiLevelType w:val="hybridMultilevel"/>
    <w:tmpl w:val="194E1A6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311C5"/>
    <w:multiLevelType w:val="hybridMultilevel"/>
    <w:tmpl w:val="7860749E"/>
    <w:lvl w:ilvl="0" w:tplc="D262A678">
      <w:start w:val="4"/>
      <w:numFmt w:val="bullet"/>
      <w:lvlText w:val=""/>
      <w:lvlJc w:val="left"/>
      <w:pPr>
        <w:ind w:left="720" w:hanging="360"/>
      </w:pPr>
      <w:rPr>
        <w:rFonts w:ascii="Wingdings" w:eastAsiaTheme="minorHAnsi" w:hAnsi="Wingdings"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A7C1A"/>
    <w:multiLevelType w:val="hybridMultilevel"/>
    <w:tmpl w:val="EAF2FF5E"/>
    <w:lvl w:ilvl="0" w:tplc="51EAE634">
      <w:numFmt w:val="bullet"/>
      <w:lvlText w:val="•"/>
      <w:lvlJc w:val="left"/>
      <w:pPr>
        <w:ind w:left="780" w:hanging="42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0A79DA"/>
    <w:multiLevelType w:val="hybridMultilevel"/>
    <w:tmpl w:val="FFB8FB16"/>
    <w:lvl w:ilvl="0" w:tplc="04070003">
      <w:start w:val="1"/>
      <w:numFmt w:val="bullet"/>
      <w:lvlText w:val="o"/>
      <w:lvlJc w:val="left"/>
      <w:pPr>
        <w:ind w:left="786" w:hanging="360"/>
      </w:pPr>
      <w:rPr>
        <w:rFonts w:ascii="Courier New" w:hAnsi="Courier New" w:cs="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281F565E"/>
    <w:multiLevelType w:val="hybridMultilevel"/>
    <w:tmpl w:val="03507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B5622"/>
    <w:multiLevelType w:val="multilevel"/>
    <w:tmpl w:val="4FFC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C527E2"/>
    <w:multiLevelType w:val="hybridMultilevel"/>
    <w:tmpl w:val="DFC89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0B4482"/>
    <w:multiLevelType w:val="hybridMultilevel"/>
    <w:tmpl w:val="088E6C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A179ED"/>
    <w:multiLevelType w:val="hybridMultilevel"/>
    <w:tmpl w:val="98CE8F78"/>
    <w:lvl w:ilvl="0" w:tplc="06DEBF2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C8018BE"/>
    <w:multiLevelType w:val="hybridMultilevel"/>
    <w:tmpl w:val="354E83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E81E8F"/>
    <w:multiLevelType w:val="hybridMultilevel"/>
    <w:tmpl w:val="5E6846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4A3350A"/>
    <w:multiLevelType w:val="hybridMultilevel"/>
    <w:tmpl w:val="1C788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09056F"/>
    <w:multiLevelType w:val="hybridMultilevel"/>
    <w:tmpl w:val="9ED838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524C71"/>
    <w:multiLevelType w:val="hybridMultilevel"/>
    <w:tmpl w:val="C6B0D372"/>
    <w:lvl w:ilvl="0" w:tplc="D262A678">
      <w:start w:val="4"/>
      <w:numFmt w:val="bullet"/>
      <w:lvlText w:val=""/>
      <w:lvlJc w:val="left"/>
      <w:pPr>
        <w:ind w:left="720" w:hanging="360"/>
      </w:pPr>
      <w:rPr>
        <w:rFonts w:ascii="Wingdings" w:eastAsiaTheme="minorHAnsi" w:hAnsi="Wingdings"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BC0061"/>
    <w:multiLevelType w:val="multilevel"/>
    <w:tmpl w:val="CDAA85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5C74B92"/>
    <w:multiLevelType w:val="hybridMultilevel"/>
    <w:tmpl w:val="4852C2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760A18"/>
    <w:multiLevelType w:val="hybridMultilevel"/>
    <w:tmpl w:val="3F3C60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623807"/>
    <w:multiLevelType w:val="hybridMultilevel"/>
    <w:tmpl w:val="19C61EFA"/>
    <w:lvl w:ilvl="0" w:tplc="A3D4693C">
      <w:start w:val="1"/>
      <w:numFmt w:val="decimal"/>
      <w:lvlText w:val="%1."/>
      <w:lvlJc w:val="left"/>
      <w:pPr>
        <w:ind w:left="720" w:hanging="360"/>
      </w:pPr>
      <w:rPr>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7917E3"/>
    <w:multiLevelType w:val="hybridMultilevel"/>
    <w:tmpl w:val="0602D486"/>
    <w:lvl w:ilvl="0" w:tplc="04070003">
      <w:start w:val="1"/>
      <w:numFmt w:val="bullet"/>
      <w:lvlText w:val="o"/>
      <w:lvlJc w:val="left"/>
      <w:pPr>
        <w:ind w:left="172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3"/>
  </w:num>
  <w:num w:numId="2">
    <w:abstractNumId w:val="18"/>
  </w:num>
  <w:num w:numId="3">
    <w:abstractNumId w:val="16"/>
  </w:num>
  <w:num w:numId="4">
    <w:abstractNumId w:val="10"/>
  </w:num>
  <w:num w:numId="5">
    <w:abstractNumId w:val="19"/>
  </w:num>
  <w:num w:numId="6">
    <w:abstractNumId w:val="0"/>
  </w:num>
  <w:num w:numId="7">
    <w:abstractNumId w:val="9"/>
  </w:num>
  <w:num w:numId="8">
    <w:abstractNumId w:val="15"/>
  </w:num>
  <w:num w:numId="9">
    <w:abstractNumId w:val="2"/>
  </w:num>
  <w:num w:numId="10">
    <w:abstractNumId w:val="6"/>
  </w:num>
  <w:num w:numId="11">
    <w:abstractNumId w:val="12"/>
  </w:num>
  <w:num w:numId="12">
    <w:abstractNumId w:val="14"/>
  </w:num>
  <w:num w:numId="13">
    <w:abstractNumId w:val="8"/>
  </w:num>
  <w:num w:numId="14">
    <w:abstractNumId w:val="4"/>
  </w:num>
  <w:num w:numId="15">
    <w:abstractNumId w:val="5"/>
  </w:num>
  <w:num w:numId="16">
    <w:abstractNumId w:val="7"/>
  </w:num>
  <w:num w:numId="17">
    <w:abstractNumId w:val="11"/>
  </w:num>
  <w:num w:numId="18">
    <w:abstractNumId w:val="1"/>
  </w:num>
  <w:num w:numId="19">
    <w:abstractNumId w:val="20"/>
  </w:num>
  <w:num w:numId="20">
    <w:abstractNumId w:val="3"/>
  </w:num>
  <w:num w:numId="21">
    <w:abstractNumId w:val="2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05"/>
    <w:rsid w:val="000122B5"/>
    <w:rsid w:val="00043983"/>
    <w:rsid w:val="00050B3B"/>
    <w:rsid w:val="00051BF8"/>
    <w:rsid w:val="00052DF5"/>
    <w:rsid w:val="00076DF8"/>
    <w:rsid w:val="00084C5A"/>
    <w:rsid w:val="000A381A"/>
    <w:rsid w:val="00102B3B"/>
    <w:rsid w:val="00127429"/>
    <w:rsid w:val="001438E1"/>
    <w:rsid w:val="00176175"/>
    <w:rsid w:val="00197C62"/>
    <w:rsid w:val="001C4337"/>
    <w:rsid w:val="001C4BD6"/>
    <w:rsid w:val="00217D8F"/>
    <w:rsid w:val="002426F2"/>
    <w:rsid w:val="00242C80"/>
    <w:rsid w:val="002441FD"/>
    <w:rsid w:val="00244A2F"/>
    <w:rsid w:val="00245895"/>
    <w:rsid w:val="00261BA1"/>
    <w:rsid w:val="00284DC4"/>
    <w:rsid w:val="002A1B2E"/>
    <w:rsid w:val="002E34DC"/>
    <w:rsid w:val="0033397E"/>
    <w:rsid w:val="00335B37"/>
    <w:rsid w:val="00351E8E"/>
    <w:rsid w:val="00413A26"/>
    <w:rsid w:val="00421FFC"/>
    <w:rsid w:val="00424DB1"/>
    <w:rsid w:val="00426564"/>
    <w:rsid w:val="00435810"/>
    <w:rsid w:val="0044129A"/>
    <w:rsid w:val="00466C6D"/>
    <w:rsid w:val="00486B92"/>
    <w:rsid w:val="004C0587"/>
    <w:rsid w:val="004E3DB1"/>
    <w:rsid w:val="004E45B1"/>
    <w:rsid w:val="0052200A"/>
    <w:rsid w:val="0052754A"/>
    <w:rsid w:val="00534704"/>
    <w:rsid w:val="00552648"/>
    <w:rsid w:val="00560E40"/>
    <w:rsid w:val="00607E1F"/>
    <w:rsid w:val="0067727D"/>
    <w:rsid w:val="006940E8"/>
    <w:rsid w:val="006A5596"/>
    <w:rsid w:val="006C2587"/>
    <w:rsid w:val="00700AD4"/>
    <w:rsid w:val="00724609"/>
    <w:rsid w:val="00726996"/>
    <w:rsid w:val="00786704"/>
    <w:rsid w:val="007A6CCE"/>
    <w:rsid w:val="007C2A08"/>
    <w:rsid w:val="007E4135"/>
    <w:rsid w:val="007F7C6A"/>
    <w:rsid w:val="00801E2D"/>
    <w:rsid w:val="0080654D"/>
    <w:rsid w:val="008368F2"/>
    <w:rsid w:val="008C5098"/>
    <w:rsid w:val="008D3E2D"/>
    <w:rsid w:val="008F39F7"/>
    <w:rsid w:val="00905084"/>
    <w:rsid w:val="00946AAF"/>
    <w:rsid w:val="00947D97"/>
    <w:rsid w:val="00963EB1"/>
    <w:rsid w:val="009D563C"/>
    <w:rsid w:val="009E1B8B"/>
    <w:rsid w:val="00A24FC2"/>
    <w:rsid w:val="00A477BC"/>
    <w:rsid w:val="00A75EFD"/>
    <w:rsid w:val="00AB2673"/>
    <w:rsid w:val="00AB4153"/>
    <w:rsid w:val="00AB6E12"/>
    <w:rsid w:val="00AC213D"/>
    <w:rsid w:val="00AD7871"/>
    <w:rsid w:val="00AE0FA8"/>
    <w:rsid w:val="00AE6823"/>
    <w:rsid w:val="00AE6871"/>
    <w:rsid w:val="00B04844"/>
    <w:rsid w:val="00B402AE"/>
    <w:rsid w:val="00B573B2"/>
    <w:rsid w:val="00B64D55"/>
    <w:rsid w:val="00B667E1"/>
    <w:rsid w:val="00BC5D7B"/>
    <w:rsid w:val="00C146A9"/>
    <w:rsid w:val="00C1747C"/>
    <w:rsid w:val="00C41D88"/>
    <w:rsid w:val="00C57347"/>
    <w:rsid w:val="00C90102"/>
    <w:rsid w:val="00CC2180"/>
    <w:rsid w:val="00CC3DF6"/>
    <w:rsid w:val="00CD4B34"/>
    <w:rsid w:val="00CD50FB"/>
    <w:rsid w:val="00CE5299"/>
    <w:rsid w:val="00D02EC0"/>
    <w:rsid w:val="00D02FE8"/>
    <w:rsid w:val="00D32089"/>
    <w:rsid w:val="00D96EA5"/>
    <w:rsid w:val="00DB6805"/>
    <w:rsid w:val="00DB6C70"/>
    <w:rsid w:val="00DB6FF9"/>
    <w:rsid w:val="00DF2A15"/>
    <w:rsid w:val="00E030E9"/>
    <w:rsid w:val="00E03530"/>
    <w:rsid w:val="00E038E4"/>
    <w:rsid w:val="00E11307"/>
    <w:rsid w:val="00E2140B"/>
    <w:rsid w:val="00E23D10"/>
    <w:rsid w:val="00E312C6"/>
    <w:rsid w:val="00E33235"/>
    <w:rsid w:val="00E44A7B"/>
    <w:rsid w:val="00E4790C"/>
    <w:rsid w:val="00E53099"/>
    <w:rsid w:val="00E66705"/>
    <w:rsid w:val="00EB6C91"/>
    <w:rsid w:val="00ED7E75"/>
    <w:rsid w:val="00EF286A"/>
    <w:rsid w:val="00EF77A3"/>
    <w:rsid w:val="00F625F8"/>
    <w:rsid w:val="00F675EF"/>
    <w:rsid w:val="00FA6AB2"/>
    <w:rsid w:val="00FC47E9"/>
    <w:rsid w:val="00FF2BC2"/>
    <w:rsid w:val="00FF4EF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0AF0C4"/>
  <w15:docId w15:val="{1BCE7643-D177-41FD-AF10-47D85D1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01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A7BE0"/>
  </w:style>
  <w:style w:type="paragraph" w:styleId="Listenabsatz">
    <w:name w:val="List Paragraph"/>
    <w:basedOn w:val="Standard"/>
    <w:uiPriority w:val="34"/>
    <w:qFormat/>
    <w:rsid w:val="00DB6805"/>
    <w:pPr>
      <w:ind w:left="720"/>
      <w:contextualSpacing/>
    </w:pPr>
  </w:style>
  <w:style w:type="paragraph" w:styleId="Sprechblasentext">
    <w:name w:val="Balloon Text"/>
    <w:basedOn w:val="Standard"/>
    <w:link w:val="SprechblasentextZchn"/>
    <w:uiPriority w:val="99"/>
    <w:semiHidden/>
    <w:unhideWhenUsed/>
    <w:rsid w:val="005275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54A"/>
    <w:rPr>
      <w:rFonts w:ascii="Tahoma" w:hAnsi="Tahoma" w:cs="Tahoma"/>
      <w:sz w:val="16"/>
      <w:szCs w:val="16"/>
    </w:rPr>
  </w:style>
  <w:style w:type="table" w:styleId="Tabellenraster">
    <w:name w:val="Table Grid"/>
    <w:basedOn w:val="NormaleTabelle"/>
    <w:uiPriority w:val="59"/>
    <w:rsid w:val="00B5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4337"/>
    <w:pPr>
      <w:tabs>
        <w:tab w:val="center" w:pos="4536"/>
        <w:tab w:val="right" w:pos="9072"/>
      </w:tabs>
    </w:pPr>
  </w:style>
  <w:style w:type="character" w:customStyle="1" w:styleId="KopfzeileZchn">
    <w:name w:val="Kopfzeile Zchn"/>
    <w:basedOn w:val="Absatz-Standardschriftart"/>
    <w:link w:val="Kopfzeile"/>
    <w:uiPriority w:val="99"/>
    <w:rsid w:val="001C4337"/>
  </w:style>
  <w:style w:type="paragraph" w:styleId="Fuzeile">
    <w:name w:val="footer"/>
    <w:basedOn w:val="Standard"/>
    <w:link w:val="FuzeileZchn"/>
    <w:uiPriority w:val="99"/>
    <w:unhideWhenUsed/>
    <w:rsid w:val="001C4337"/>
    <w:pPr>
      <w:tabs>
        <w:tab w:val="center" w:pos="4536"/>
        <w:tab w:val="right" w:pos="9072"/>
      </w:tabs>
    </w:pPr>
  </w:style>
  <w:style w:type="character" w:customStyle="1" w:styleId="FuzeileZchn">
    <w:name w:val="Fußzeile Zchn"/>
    <w:basedOn w:val="Absatz-Standardschriftart"/>
    <w:link w:val="Fuzeile"/>
    <w:uiPriority w:val="99"/>
    <w:rsid w:val="001C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594B-9FE0-4C1B-AA36-56182BC4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Wunsch</dc:creator>
  <cp:lastModifiedBy>Judith Walther</cp:lastModifiedBy>
  <cp:revision>4</cp:revision>
  <cp:lastPrinted>2017-08-13T08:47:00Z</cp:lastPrinted>
  <dcterms:created xsi:type="dcterms:W3CDTF">2017-08-13T08:49:00Z</dcterms:created>
  <dcterms:modified xsi:type="dcterms:W3CDTF">2017-08-13T08:59:00Z</dcterms:modified>
</cp:coreProperties>
</file>